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9BB74" w14:textId="77777777" w:rsidR="00C1257C" w:rsidRPr="000E7765" w:rsidRDefault="00C1257C" w:rsidP="00C1257C">
      <w:pPr>
        <w:pStyle w:val="docdata"/>
        <w:spacing w:before="0" w:beforeAutospacing="0" w:after="0" w:afterAutospacing="0" w:line="235" w:lineRule="atLeast"/>
        <w:ind w:right="567"/>
        <w:rPr>
          <w:rFonts w:ascii="Nunito Sans" w:hAnsi="Nunito Sans"/>
          <w:b/>
          <w:bCs/>
        </w:rPr>
      </w:pPr>
      <w:r w:rsidRPr="000E7765">
        <w:rPr>
          <w:rFonts w:ascii="Nunito Sans" w:hAnsi="Nunito Sans"/>
          <w:b/>
          <w:bCs/>
          <w:color w:val="000000"/>
        </w:rPr>
        <w:t>Landesverwaltungsamt Sachsen</w:t>
      </w:r>
      <w:r w:rsidRPr="000E7765">
        <w:rPr>
          <w:rFonts w:ascii="Nunito Sans" w:hAnsi="Nunito Sans"/>
          <w:b/>
          <w:bCs/>
          <w:color w:val="000000"/>
        </w:rPr>
        <w:noBreakHyphen/>
        <w:t>Anhalt</w:t>
      </w:r>
    </w:p>
    <w:p w14:paraId="4408FF85" w14:textId="77777777" w:rsidR="00C1257C" w:rsidRPr="00C1257C" w:rsidRDefault="00C1257C" w:rsidP="00C1257C">
      <w:pPr>
        <w:pStyle w:val="StandardWeb"/>
        <w:spacing w:before="0" w:beforeAutospacing="0" w:after="0" w:afterAutospacing="0" w:line="235" w:lineRule="atLeast"/>
        <w:ind w:right="567"/>
        <w:rPr>
          <w:rFonts w:ascii="Nunito Sans" w:hAnsi="Nunito Sans"/>
        </w:rPr>
      </w:pPr>
      <w:r w:rsidRPr="00C1257C">
        <w:rPr>
          <w:rFonts w:ascii="Nunito Sans" w:hAnsi="Nunito Sans"/>
          <w:color w:val="000000"/>
        </w:rPr>
        <w:t>Referat Immissionsschutz</w:t>
      </w:r>
    </w:p>
    <w:p w14:paraId="283F7BDE" w14:textId="77777777" w:rsidR="00C1257C" w:rsidRPr="00C1257C" w:rsidRDefault="00C1257C" w:rsidP="00C1257C">
      <w:pPr>
        <w:pStyle w:val="StandardWeb"/>
        <w:spacing w:before="0" w:beforeAutospacing="0" w:after="0" w:afterAutospacing="0" w:line="235" w:lineRule="atLeast"/>
        <w:ind w:right="567"/>
        <w:rPr>
          <w:rFonts w:ascii="Nunito Sans" w:hAnsi="Nunito Sans"/>
        </w:rPr>
      </w:pPr>
      <w:r w:rsidRPr="00C1257C">
        <w:rPr>
          <w:rFonts w:ascii="Nunito Sans" w:hAnsi="Nunito Sans"/>
          <w:color w:val="000000"/>
        </w:rPr>
        <w:t>Dessauer Straße 70</w:t>
      </w:r>
    </w:p>
    <w:p w14:paraId="267FB25E" w14:textId="77777777" w:rsidR="00C1257C" w:rsidRPr="00C1257C" w:rsidRDefault="00C1257C" w:rsidP="00C1257C">
      <w:pPr>
        <w:pStyle w:val="StandardWeb"/>
        <w:spacing w:before="0" w:beforeAutospacing="0" w:after="0" w:afterAutospacing="0" w:line="235" w:lineRule="atLeast"/>
        <w:ind w:right="567"/>
        <w:rPr>
          <w:rFonts w:ascii="Nunito Sans" w:hAnsi="Nunito Sans"/>
        </w:rPr>
      </w:pPr>
      <w:r w:rsidRPr="00C1257C">
        <w:rPr>
          <w:rFonts w:ascii="Nunito Sans" w:hAnsi="Nunito Sans"/>
          <w:color w:val="000000"/>
        </w:rPr>
        <w:t>06118 Halle (Saale)</w:t>
      </w:r>
    </w:p>
    <w:p w14:paraId="0BEA74E7" w14:textId="77777777" w:rsidR="00C1257C" w:rsidRPr="00C1257C" w:rsidRDefault="00C1257C" w:rsidP="00C1257C">
      <w:pPr>
        <w:pStyle w:val="StandardWeb"/>
        <w:spacing w:before="0" w:beforeAutospacing="0" w:after="0" w:afterAutospacing="0" w:line="235" w:lineRule="atLeast"/>
        <w:ind w:right="567"/>
        <w:rPr>
          <w:rFonts w:ascii="Nunito Sans" w:hAnsi="Nunito Sans"/>
        </w:rPr>
      </w:pPr>
      <w:r w:rsidRPr="00C1257C">
        <w:rPr>
          <w:rFonts w:ascii="Nunito Sans" w:hAnsi="Nunito Sans"/>
          <w:color w:val="000000"/>
        </w:rPr>
        <w:t> </w:t>
      </w:r>
    </w:p>
    <w:p w14:paraId="7F537DA3" w14:textId="77777777" w:rsidR="00C1257C" w:rsidRPr="00C1257C" w:rsidRDefault="00C1257C" w:rsidP="00C1257C">
      <w:pPr>
        <w:pStyle w:val="StandardWeb"/>
        <w:widowControl w:val="0"/>
        <w:spacing w:before="0" w:beforeAutospacing="0" w:after="0" w:afterAutospacing="0" w:line="273" w:lineRule="auto"/>
        <w:ind w:right="567"/>
        <w:rPr>
          <w:rFonts w:ascii="Nunito Sans" w:hAnsi="Nunito Sans"/>
        </w:rPr>
      </w:pPr>
      <w:r w:rsidRPr="00C1257C">
        <w:rPr>
          <w:rFonts w:ascii="Nunito Sans" w:hAnsi="Nunito Sans"/>
          <w:color w:val="000000"/>
        </w:rPr>
        <w:t xml:space="preserve">per E-Mail: </w:t>
      </w:r>
      <w:r w:rsidRPr="00C1257C">
        <w:rPr>
          <w:rFonts w:ascii="Nunito Sans" w:hAnsi="Nunito Sans"/>
          <w:b/>
          <w:bCs/>
          <w:color w:val="000000"/>
        </w:rPr>
        <w:t>TOEB.Antrag@lvwa.sachsen-anhalt.de</w:t>
      </w:r>
    </w:p>
    <w:p w14:paraId="562B1509" w14:textId="77777777" w:rsidR="00C1257C" w:rsidRPr="00C1257C" w:rsidRDefault="00C1257C" w:rsidP="00C1257C">
      <w:pPr>
        <w:ind w:right="567"/>
        <w:jc w:val="both"/>
        <w:rPr>
          <w:rFonts w:ascii="Nunito Sans" w:hAnsi="Nunito Sans"/>
          <w:sz w:val="24"/>
          <w:szCs w:val="24"/>
        </w:rPr>
      </w:pPr>
    </w:p>
    <w:p w14:paraId="303430D9" w14:textId="77777777" w:rsidR="00C1257C" w:rsidRPr="00C1257C" w:rsidRDefault="00C1257C" w:rsidP="00C1257C">
      <w:pPr>
        <w:ind w:right="567"/>
        <w:jc w:val="both"/>
        <w:rPr>
          <w:rFonts w:ascii="Nunito Sans" w:hAnsi="Nunito Sans"/>
          <w:sz w:val="24"/>
          <w:szCs w:val="24"/>
        </w:rPr>
      </w:pPr>
    </w:p>
    <w:p w14:paraId="03045738" w14:textId="4DD2EF53" w:rsidR="00786851" w:rsidRPr="00C1257C" w:rsidRDefault="00786851" w:rsidP="00C1257C">
      <w:pPr>
        <w:ind w:right="567"/>
        <w:jc w:val="both"/>
        <w:rPr>
          <w:rFonts w:ascii="Nunito Sans" w:hAnsi="Nunito Sans"/>
          <w:sz w:val="24"/>
          <w:szCs w:val="24"/>
        </w:rPr>
      </w:pPr>
      <w:r w:rsidRPr="00C1257C">
        <w:rPr>
          <w:rFonts w:ascii="Nunito Sans" w:hAnsi="Nunito Sans"/>
          <w:sz w:val="24"/>
          <w:szCs w:val="24"/>
        </w:rPr>
        <w:t>Sehr geehrte Damen und Herren,</w:t>
      </w:r>
    </w:p>
    <w:p w14:paraId="5892BDD5" w14:textId="5DB8BB57" w:rsidR="00786851" w:rsidRPr="00C1257C" w:rsidRDefault="00786851" w:rsidP="00C1257C">
      <w:pPr>
        <w:ind w:right="567"/>
        <w:jc w:val="both"/>
        <w:rPr>
          <w:rFonts w:ascii="Nunito Sans" w:hAnsi="Nunito Sans"/>
          <w:sz w:val="24"/>
          <w:szCs w:val="24"/>
        </w:rPr>
      </w:pPr>
      <w:r w:rsidRPr="00C1257C">
        <w:rPr>
          <w:rFonts w:ascii="Nunito Sans" w:hAnsi="Nunito Sans"/>
          <w:sz w:val="24"/>
          <w:szCs w:val="24"/>
        </w:rPr>
        <w:t>hiermit erhebe ich fristgerecht Einwendungen gegen das Vorhaben der Schweinemast Gerbisbach GmbH &amp; Co. KG im aktuell laufenden ergänzenden Genehmigungsverfahren nach § 7 Abs. 5 Umwelt</w:t>
      </w:r>
      <w:r w:rsidRPr="00C1257C">
        <w:rPr>
          <w:rFonts w:ascii="Nunito Sans" w:hAnsi="Nunito Sans"/>
          <w:sz w:val="24"/>
          <w:szCs w:val="24"/>
        </w:rPr>
        <w:noBreakHyphen/>
        <w:t>Rechtsbehelfsgesetz (</w:t>
      </w:r>
      <w:proofErr w:type="spellStart"/>
      <w:r w:rsidRPr="00C1257C">
        <w:rPr>
          <w:rFonts w:ascii="Nunito Sans" w:hAnsi="Nunito Sans"/>
          <w:sz w:val="24"/>
          <w:szCs w:val="24"/>
        </w:rPr>
        <w:t>UmwRG</w:t>
      </w:r>
      <w:proofErr w:type="spellEnd"/>
      <w:r w:rsidRPr="00C1257C">
        <w:rPr>
          <w:rFonts w:ascii="Nunito Sans" w:hAnsi="Nunito Sans"/>
          <w:sz w:val="24"/>
          <w:szCs w:val="24"/>
        </w:rPr>
        <w:t xml:space="preserve">) </w:t>
      </w:r>
      <w:proofErr w:type="spellStart"/>
      <w:r w:rsidRPr="00C1257C">
        <w:rPr>
          <w:rFonts w:ascii="Nunito Sans" w:hAnsi="Nunito Sans"/>
          <w:sz w:val="24"/>
          <w:szCs w:val="24"/>
        </w:rPr>
        <w:t>i.V.m</w:t>
      </w:r>
      <w:proofErr w:type="spellEnd"/>
      <w:r w:rsidRPr="00C1257C">
        <w:rPr>
          <w:rFonts w:ascii="Nunito Sans" w:hAnsi="Nunito Sans"/>
          <w:sz w:val="24"/>
          <w:szCs w:val="24"/>
        </w:rPr>
        <w:t>. § 10 BImSchG und § 4 ff. UVPG.</w:t>
      </w:r>
    </w:p>
    <w:p w14:paraId="0624E2B1" w14:textId="4BEEC771" w:rsidR="00786851" w:rsidRPr="00C1257C" w:rsidRDefault="00786851" w:rsidP="00C1257C">
      <w:pPr>
        <w:ind w:right="567"/>
        <w:jc w:val="both"/>
        <w:rPr>
          <w:rFonts w:ascii="Nunito Sans" w:hAnsi="Nunito Sans"/>
          <w:sz w:val="24"/>
          <w:szCs w:val="24"/>
        </w:rPr>
      </w:pPr>
      <w:r w:rsidRPr="00C1257C">
        <w:rPr>
          <w:rFonts w:ascii="Nunito Sans" w:hAnsi="Nunito Sans"/>
          <w:sz w:val="24"/>
          <w:szCs w:val="24"/>
        </w:rPr>
        <w:t>Die Einwendungen beziehen sich auf die Immissionsprognose für Ammoniak und Stickstoff, die Natura</w:t>
      </w:r>
      <w:r w:rsidRPr="00C1257C">
        <w:rPr>
          <w:rFonts w:ascii="Nunito Sans" w:hAnsi="Nunito Sans"/>
          <w:sz w:val="24"/>
          <w:szCs w:val="24"/>
        </w:rPr>
        <w:noBreakHyphen/>
        <w:t>2000-Verträglichkeitsuntersuchung sowie den UVP</w:t>
      </w:r>
      <w:r w:rsidRPr="00C1257C">
        <w:rPr>
          <w:rFonts w:ascii="Nunito Sans" w:hAnsi="Nunito Sans"/>
          <w:sz w:val="24"/>
          <w:szCs w:val="24"/>
        </w:rPr>
        <w:noBreakHyphen/>
        <w:t>Bericht (Nachtrag), mit denen die vom Verwaltungsgericht Halle, Oberverwaltungsgericht Sachsen</w:t>
      </w:r>
      <w:r w:rsidRPr="00C1257C">
        <w:rPr>
          <w:rFonts w:ascii="Nunito Sans" w:hAnsi="Nunito Sans"/>
          <w:sz w:val="24"/>
          <w:szCs w:val="24"/>
        </w:rPr>
        <w:noBreakHyphen/>
        <w:t>Anhalt und Bundesverwaltungsgericht festgestellten Mängel der ursprünglichen Genehmigung geheilt werden sollen.</w:t>
      </w:r>
    </w:p>
    <w:p w14:paraId="05246251" w14:textId="77777777" w:rsidR="000E69B6" w:rsidRPr="00C1257C" w:rsidRDefault="000E69B6" w:rsidP="00C1257C">
      <w:pPr>
        <w:ind w:right="567"/>
        <w:jc w:val="both"/>
        <w:rPr>
          <w:rFonts w:ascii="Nunito Sans" w:hAnsi="Nunito Sans"/>
          <w:sz w:val="24"/>
          <w:szCs w:val="24"/>
        </w:rPr>
      </w:pPr>
    </w:p>
    <w:p w14:paraId="50194FCE" w14:textId="77777777" w:rsidR="00786851" w:rsidRPr="00C1257C" w:rsidRDefault="00786851" w:rsidP="000E7765">
      <w:pPr>
        <w:pStyle w:val="berschrift2"/>
      </w:pPr>
      <w:r w:rsidRPr="00C1257C">
        <w:t>Einwendung 1: Unzureichende und fehleranfällige Immissionsprognose für Stickstoff/Ammoniak</w:t>
      </w:r>
    </w:p>
    <w:p w14:paraId="761771D1" w14:textId="77777777" w:rsidR="00786851" w:rsidRPr="00C1257C" w:rsidRDefault="00786851" w:rsidP="00C1257C">
      <w:pPr>
        <w:ind w:right="567"/>
        <w:jc w:val="both"/>
        <w:rPr>
          <w:rFonts w:ascii="Nunito Sans" w:hAnsi="Nunito Sans"/>
          <w:sz w:val="24"/>
          <w:szCs w:val="24"/>
        </w:rPr>
      </w:pPr>
      <w:r w:rsidRPr="00C1257C">
        <w:rPr>
          <w:rFonts w:ascii="Nunito Sans" w:hAnsi="Nunito Sans"/>
          <w:sz w:val="24"/>
          <w:szCs w:val="24"/>
        </w:rPr>
        <w:t xml:space="preserve">Die Immissionsprognose </w:t>
      </w:r>
      <w:proofErr w:type="spellStart"/>
      <w:r w:rsidRPr="00C1257C">
        <w:rPr>
          <w:rFonts w:ascii="Nunito Sans" w:hAnsi="Nunito Sans"/>
          <w:sz w:val="24"/>
          <w:szCs w:val="24"/>
        </w:rPr>
        <w:t>IfU</w:t>
      </w:r>
      <w:proofErr w:type="spellEnd"/>
      <w:r w:rsidRPr="00C1257C">
        <w:rPr>
          <w:rFonts w:ascii="Nunito Sans" w:hAnsi="Nunito Sans"/>
          <w:sz w:val="24"/>
          <w:szCs w:val="24"/>
        </w:rPr>
        <w:t xml:space="preserve"> GmbH 2025 soll die von den Gerichten gerügten Fehler zur Stickstoff</w:t>
      </w:r>
      <w:r w:rsidRPr="00C1257C">
        <w:rPr>
          <w:rFonts w:ascii="Nunito Sans" w:hAnsi="Nunito Sans"/>
          <w:sz w:val="24"/>
          <w:szCs w:val="24"/>
        </w:rPr>
        <w:noBreakHyphen/>
        <w:t xml:space="preserve"> und Ammoniakbelastung beheben. Sie weist 111 gesetzlich geschützte Biotope aus und kommt zum Ergebnis, dass bei 80 Biotopen der </w:t>
      </w:r>
      <w:proofErr w:type="spellStart"/>
      <w:r w:rsidRPr="00C1257C">
        <w:rPr>
          <w:rFonts w:ascii="Nunito Sans" w:hAnsi="Nunito Sans"/>
          <w:sz w:val="24"/>
          <w:szCs w:val="24"/>
        </w:rPr>
        <w:t>Abschneidewert</w:t>
      </w:r>
      <w:proofErr w:type="spellEnd"/>
      <w:r w:rsidRPr="00C1257C">
        <w:rPr>
          <w:rFonts w:ascii="Nunito Sans" w:hAnsi="Nunito Sans"/>
          <w:sz w:val="24"/>
          <w:szCs w:val="24"/>
        </w:rPr>
        <w:t xml:space="preserve"> von 0,3 kg N/ha/a sicher unterschritten wird, bei 31 Biotopen aber eine weitergehende Prüfung erforderlich ist.</w:t>
      </w:r>
    </w:p>
    <w:p w14:paraId="7C7652E9" w14:textId="77777777" w:rsidR="00786851" w:rsidRPr="00C1257C" w:rsidRDefault="00786851" w:rsidP="00C1257C">
      <w:pPr>
        <w:ind w:right="567"/>
        <w:jc w:val="both"/>
        <w:rPr>
          <w:rFonts w:ascii="Nunito Sans" w:hAnsi="Nunito Sans"/>
          <w:sz w:val="24"/>
          <w:szCs w:val="24"/>
        </w:rPr>
      </w:pPr>
      <w:r w:rsidRPr="00C1257C">
        <w:rPr>
          <w:rFonts w:ascii="Nunito Sans" w:hAnsi="Nunito Sans"/>
          <w:sz w:val="24"/>
          <w:szCs w:val="24"/>
        </w:rPr>
        <w:t xml:space="preserve">Die Prognose stützt die Bewertung maßgeblich auf </w:t>
      </w:r>
      <w:proofErr w:type="gramStart"/>
      <w:r w:rsidRPr="00C1257C">
        <w:rPr>
          <w:rFonts w:ascii="Nunito Sans" w:hAnsi="Nunito Sans"/>
          <w:sz w:val="24"/>
          <w:szCs w:val="24"/>
        </w:rPr>
        <w:t>TA Luft</w:t>
      </w:r>
      <w:proofErr w:type="gramEnd"/>
      <w:r w:rsidRPr="00C1257C">
        <w:rPr>
          <w:rFonts w:ascii="Nunito Sans" w:hAnsi="Nunito Sans"/>
          <w:sz w:val="24"/>
          <w:szCs w:val="24"/>
        </w:rPr>
        <w:t>, LAI</w:t>
      </w:r>
      <w:r w:rsidRPr="00C1257C">
        <w:rPr>
          <w:rFonts w:ascii="Nunito Sans" w:hAnsi="Nunito Sans"/>
          <w:sz w:val="24"/>
          <w:szCs w:val="24"/>
        </w:rPr>
        <w:noBreakHyphen/>
        <w:t>Leitfaden und modellierte Critical Loads. Zugleich wird ausdrücklich festgehalten, dass die Wertung nur eine „begründete Sachverständigenmeinung“ ist und die abschließende Beurteilung der Behörde obliegt.</w:t>
      </w:r>
    </w:p>
    <w:p w14:paraId="6257BBBD" w14:textId="0D927C8F" w:rsidR="00786851" w:rsidRPr="00C1257C" w:rsidRDefault="00786851" w:rsidP="00C1257C">
      <w:pPr>
        <w:ind w:right="567"/>
        <w:jc w:val="both"/>
        <w:rPr>
          <w:rFonts w:ascii="Nunito Sans" w:hAnsi="Nunito Sans"/>
          <w:sz w:val="24"/>
          <w:szCs w:val="24"/>
        </w:rPr>
      </w:pPr>
      <w:r w:rsidRPr="00C1257C">
        <w:rPr>
          <w:rFonts w:ascii="Nunito Sans" w:hAnsi="Nunito Sans"/>
          <w:sz w:val="24"/>
          <w:szCs w:val="24"/>
        </w:rPr>
        <w:t>Aus meiner Sicht bestehen folgende Einwände:</w:t>
      </w:r>
    </w:p>
    <w:p w14:paraId="5ACA2EAE" w14:textId="77777777" w:rsidR="00786851" w:rsidRPr="00C1257C" w:rsidRDefault="00786851" w:rsidP="00C1257C">
      <w:pPr>
        <w:ind w:right="567"/>
        <w:jc w:val="both"/>
        <w:rPr>
          <w:rFonts w:ascii="Nunito Sans" w:hAnsi="Nunito Sans"/>
          <w:sz w:val="24"/>
          <w:szCs w:val="24"/>
        </w:rPr>
      </w:pPr>
      <w:r w:rsidRPr="00C1257C">
        <w:rPr>
          <w:rFonts w:ascii="Nunito Sans" w:hAnsi="Nunito Sans"/>
          <w:sz w:val="24"/>
          <w:szCs w:val="24"/>
        </w:rPr>
        <w:t xml:space="preserve">Die Prognose beruht auf umfangreichen Modellannahmen (AUSTAL, Depositionsgeschwindigkeiten, Ausbreitungsklassen), deren Unsicherheiten selbst im Gutachten eingeräumt werden. Gerade bei kleinräumigen Gehölzbeständen und linearen Biotopen (Hecken, Baumreihen) ist die Stickstoffverträglichkeit nach den eigenen Angaben potentiell unterschätzt. </w:t>
      </w:r>
    </w:p>
    <w:p w14:paraId="196DAE11" w14:textId="77777777" w:rsidR="00786851" w:rsidRPr="00C1257C" w:rsidRDefault="00786851" w:rsidP="00C1257C">
      <w:pPr>
        <w:ind w:right="567"/>
        <w:jc w:val="both"/>
        <w:rPr>
          <w:rFonts w:ascii="Nunito Sans" w:hAnsi="Nunito Sans"/>
          <w:sz w:val="24"/>
          <w:szCs w:val="24"/>
        </w:rPr>
      </w:pPr>
      <w:r w:rsidRPr="00C1257C">
        <w:rPr>
          <w:rFonts w:ascii="Nunito Sans" w:hAnsi="Nunito Sans"/>
          <w:sz w:val="24"/>
          <w:szCs w:val="24"/>
        </w:rPr>
        <w:lastRenderedPageBreak/>
        <w:t xml:space="preserve">Die kritische Schwelle von 0,3 kg N/ha/a als </w:t>
      </w:r>
      <w:proofErr w:type="spellStart"/>
      <w:r w:rsidRPr="00C1257C">
        <w:rPr>
          <w:rFonts w:ascii="Nunito Sans" w:hAnsi="Nunito Sans"/>
          <w:sz w:val="24"/>
          <w:szCs w:val="24"/>
        </w:rPr>
        <w:t>Abschneidekriterium</w:t>
      </w:r>
      <w:proofErr w:type="spellEnd"/>
      <w:r w:rsidRPr="00C1257C">
        <w:rPr>
          <w:rFonts w:ascii="Nunito Sans" w:hAnsi="Nunito Sans"/>
          <w:sz w:val="24"/>
          <w:szCs w:val="24"/>
        </w:rPr>
        <w:t xml:space="preserve"> wird übernommen, obwohl das OVG Sachsen</w:t>
      </w:r>
      <w:r w:rsidRPr="00C1257C">
        <w:rPr>
          <w:rFonts w:ascii="Nunito Sans" w:hAnsi="Nunito Sans"/>
          <w:sz w:val="24"/>
          <w:szCs w:val="24"/>
        </w:rPr>
        <w:noBreakHyphen/>
        <w:t>Anhalt und das BVerwG in früheren Entscheidungen gerade die unkritische Anwendung solcher Bagatellschwellen bei FFH</w:t>
      </w:r>
      <w:r w:rsidRPr="00C1257C">
        <w:rPr>
          <w:rFonts w:ascii="Nunito Sans" w:hAnsi="Nunito Sans"/>
          <w:sz w:val="24"/>
          <w:szCs w:val="24"/>
        </w:rPr>
        <w:noBreakHyphen/>
        <w:t xml:space="preserve"> und Biotopschutz problematisiert haben. </w:t>
      </w:r>
    </w:p>
    <w:p w14:paraId="1FBB8863" w14:textId="77777777" w:rsidR="00786851" w:rsidRPr="00C1257C" w:rsidRDefault="00786851" w:rsidP="00C1257C">
      <w:pPr>
        <w:ind w:right="567"/>
        <w:jc w:val="both"/>
        <w:rPr>
          <w:rFonts w:ascii="Nunito Sans" w:hAnsi="Nunito Sans"/>
          <w:sz w:val="24"/>
          <w:szCs w:val="24"/>
        </w:rPr>
      </w:pPr>
      <w:r w:rsidRPr="00C1257C">
        <w:rPr>
          <w:rFonts w:ascii="Nunito Sans" w:hAnsi="Nunito Sans"/>
          <w:sz w:val="24"/>
          <w:szCs w:val="24"/>
        </w:rPr>
        <w:t>Für 31 Biotope erfolgt nur eine „weitergehende Prüfung“ auf Grundlage modellierter Critical Loads. Die Gutachter selbst betonen, dass bei Überschreitung standortspezifischer Critical Loads eine Einzelfalldiskussion der Erheblichkeit erforderlich ist. Diese einzelfallbezogene, konservativ</w:t>
      </w:r>
      <w:r w:rsidRPr="00C1257C">
        <w:rPr>
          <w:rFonts w:ascii="Nunito Sans" w:hAnsi="Nunito Sans"/>
          <w:sz w:val="24"/>
          <w:szCs w:val="24"/>
        </w:rPr>
        <w:noBreakHyphen/>
        <w:t>vorsorgeorientierte Prüfung wird im Antrag jedoch faktisch durch pauschale Verweise auf die Einhaltung der Critical Loads ersetzt.</w:t>
      </w:r>
    </w:p>
    <w:p w14:paraId="786BF901" w14:textId="77777777" w:rsidR="00786851" w:rsidRPr="00C1257C" w:rsidRDefault="00786851" w:rsidP="00C1257C">
      <w:pPr>
        <w:ind w:right="567"/>
        <w:jc w:val="both"/>
        <w:rPr>
          <w:rFonts w:ascii="Nunito Sans" w:hAnsi="Nunito Sans"/>
          <w:sz w:val="24"/>
          <w:szCs w:val="24"/>
        </w:rPr>
      </w:pPr>
      <w:r w:rsidRPr="00C1257C">
        <w:rPr>
          <w:rFonts w:ascii="Nunito Sans" w:hAnsi="Nunito Sans"/>
          <w:sz w:val="24"/>
          <w:szCs w:val="24"/>
        </w:rPr>
        <w:t>Der ergänzende UVP</w:t>
      </w:r>
      <w:r w:rsidRPr="00C1257C">
        <w:rPr>
          <w:rFonts w:ascii="Nunito Sans" w:hAnsi="Nunito Sans"/>
          <w:sz w:val="24"/>
          <w:szCs w:val="24"/>
        </w:rPr>
        <w:noBreakHyphen/>
        <w:t xml:space="preserve">Bericht (Nachtrag) genügt diesen gerichtlichen Vorgaben gerade nicht: Er begnügt sich damit, die Ergebnisse der Immissionsprognose </w:t>
      </w:r>
      <w:proofErr w:type="spellStart"/>
      <w:r w:rsidRPr="00C1257C">
        <w:rPr>
          <w:rFonts w:ascii="Nunito Sans" w:hAnsi="Nunito Sans"/>
          <w:sz w:val="24"/>
          <w:szCs w:val="24"/>
        </w:rPr>
        <w:t>IfU</w:t>
      </w:r>
      <w:proofErr w:type="spellEnd"/>
      <w:r w:rsidRPr="00C1257C">
        <w:rPr>
          <w:rFonts w:ascii="Nunito Sans" w:hAnsi="Nunito Sans"/>
          <w:sz w:val="24"/>
          <w:szCs w:val="24"/>
        </w:rPr>
        <w:t xml:space="preserve"> 2025 und der Natura</w:t>
      </w:r>
      <w:r w:rsidRPr="00C1257C">
        <w:rPr>
          <w:rFonts w:ascii="Nunito Sans" w:hAnsi="Nunito Sans"/>
          <w:sz w:val="24"/>
          <w:szCs w:val="24"/>
        </w:rPr>
        <w:noBreakHyphen/>
        <w:t>2000</w:t>
      </w:r>
      <w:r w:rsidRPr="00C1257C">
        <w:rPr>
          <w:rFonts w:ascii="Nunito Sans" w:hAnsi="Nunito Sans"/>
          <w:sz w:val="24"/>
          <w:szCs w:val="24"/>
        </w:rPr>
        <w:noBreakHyphen/>
        <w:t>Verträglichkeitsuntersuchung IBE 2025/2026 referierend zu übernehmen, statt eine eigene, behördlich</w:t>
      </w:r>
      <w:r w:rsidRPr="00C1257C">
        <w:rPr>
          <w:rFonts w:ascii="Nunito Sans" w:hAnsi="Nunito Sans"/>
          <w:sz w:val="24"/>
          <w:szCs w:val="24"/>
        </w:rPr>
        <w:noBreakHyphen/>
        <w:t>kritische Umweltbewertung vorzunehmen, und stützt die Abgrenzung des Wirkraums weiterhin schematisch auf die 0,3</w:t>
      </w:r>
      <w:r w:rsidRPr="00C1257C">
        <w:rPr>
          <w:rFonts w:ascii="Nunito Sans" w:hAnsi="Nunito Sans"/>
          <w:sz w:val="24"/>
          <w:szCs w:val="24"/>
        </w:rPr>
        <w:noBreakHyphen/>
        <w:t>kg</w:t>
      </w:r>
      <w:r w:rsidRPr="00C1257C">
        <w:rPr>
          <w:rFonts w:ascii="Nunito Sans" w:hAnsi="Nunito Sans"/>
          <w:sz w:val="24"/>
          <w:szCs w:val="24"/>
        </w:rPr>
        <w:noBreakHyphen/>
        <w:t>N/ha/a</w:t>
      </w:r>
      <w:r w:rsidRPr="00C1257C">
        <w:rPr>
          <w:rFonts w:ascii="Nunito Sans" w:hAnsi="Nunito Sans"/>
          <w:sz w:val="24"/>
          <w:szCs w:val="24"/>
        </w:rPr>
        <w:noBreakHyphen/>
      </w:r>
      <w:proofErr w:type="spellStart"/>
      <w:r w:rsidRPr="00C1257C">
        <w:rPr>
          <w:rFonts w:ascii="Nunito Sans" w:hAnsi="Nunito Sans"/>
          <w:sz w:val="24"/>
          <w:szCs w:val="24"/>
        </w:rPr>
        <w:t>Isoplethe</w:t>
      </w:r>
      <w:proofErr w:type="spellEnd"/>
      <w:r w:rsidRPr="00C1257C">
        <w:rPr>
          <w:rFonts w:ascii="Nunito Sans" w:hAnsi="Nunito Sans"/>
          <w:sz w:val="24"/>
          <w:szCs w:val="24"/>
        </w:rPr>
        <w:t xml:space="preserve">. Die </w:t>
      </w:r>
      <w:proofErr w:type="spellStart"/>
      <w:r w:rsidRPr="00C1257C">
        <w:rPr>
          <w:rFonts w:ascii="Nunito Sans" w:hAnsi="Nunito Sans"/>
          <w:sz w:val="24"/>
          <w:szCs w:val="24"/>
        </w:rPr>
        <w:t>Erheblichkeitsprüfung</w:t>
      </w:r>
      <w:proofErr w:type="spellEnd"/>
      <w:r w:rsidRPr="00C1257C">
        <w:rPr>
          <w:rFonts w:ascii="Nunito Sans" w:hAnsi="Nunito Sans"/>
          <w:sz w:val="24"/>
          <w:szCs w:val="24"/>
        </w:rPr>
        <w:t xml:space="preserve"> erfolgt letztlich über den Vergleich der modellierten Gesamtdeposition mit standortspezifischen Critical Loads und die Einhaltung der 3</w:t>
      </w:r>
      <w:r w:rsidRPr="00C1257C">
        <w:rPr>
          <w:rFonts w:ascii="Nunito Sans" w:hAnsi="Nunito Sans"/>
          <w:sz w:val="24"/>
          <w:szCs w:val="24"/>
        </w:rPr>
        <w:noBreakHyphen/>
        <w:t>%</w:t>
      </w:r>
      <w:r w:rsidRPr="00C1257C">
        <w:rPr>
          <w:rFonts w:ascii="Nunito Sans" w:hAnsi="Nunito Sans"/>
          <w:sz w:val="24"/>
          <w:szCs w:val="24"/>
        </w:rPr>
        <w:noBreakHyphen/>
        <w:t xml:space="preserve">Bagatellschwelle, ohne dass dort, wo Hintergrunddeposition und </w:t>
      </w:r>
      <w:proofErr w:type="spellStart"/>
      <w:r w:rsidRPr="00C1257C">
        <w:rPr>
          <w:rFonts w:ascii="Nunito Sans" w:hAnsi="Nunito Sans"/>
          <w:sz w:val="24"/>
          <w:szCs w:val="24"/>
        </w:rPr>
        <w:t>vorhabensnahe</w:t>
      </w:r>
      <w:proofErr w:type="spellEnd"/>
      <w:r w:rsidRPr="00C1257C">
        <w:rPr>
          <w:rFonts w:ascii="Nunito Sans" w:hAnsi="Nunito Sans"/>
          <w:sz w:val="24"/>
          <w:szCs w:val="24"/>
        </w:rPr>
        <w:t xml:space="preserve"> Vorbelastungen den Beurteilungswert bereits erreichen oder überschreiten könnten, eine nachvollziehbare, vorsorgeorientierte Einzelfallwürdigung sensibler FFH</w:t>
      </w:r>
      <w:r w:rsidRPr="00C1257C">
        <w:rPr>
          <w:rFonts w:ascii="Nunito Sans" w:hAnsi="Nunito Sans"/>
          <w:sz w:val="24"/>
          <w:szCs w:val="24"/>
        </w:rPr>
        <w:noBreakHyphen/>
        <w:t xml:space="preserve">Lebensraumtypen (insbes. LRT 3150/3260) und gesetzlich geschützter Biotope erfolgt. Auch die vom Bundesverwaltungsgericht eingeforderte Summationsbetrachtung wird faktisch auf zusätzlich seit 2017 hinzugekommene Vorhaben beschränkt und mit einem pauschalen Verweis auf rückläufige Hintergrunddeposition für entbehrlich erklärt, obwohl die großräumige Vorbelastung durch die </w:t>
      </w:r>
      <w:proofErr w:type="spellStart"/>
      <w:r w:rsidRPr="00C1257C">
        <w:rPr>
          <w:rFonts w:ascii="Nunito Sans" w:hAnsi="Nunito Sans"/>
          <w:sz w:val="24"/>
          <w:szCs w:val="24"/>
        </w:rPr>
        <w:t>Tierhaltungs</w:t>
      </w:r>
      <w:proofErr w:type="spellEnd"/>
      <w:r w:rsidRPr="00C1257C">
        <w:rPr>
          <w:rFonts w:ascii="Nunito Sans" w:hAnsi="Nunito Sans"/>
          <w:sz w:val="24"/>
          <w:szCs w:val="24"/>
        </w:rPr>
        <w:noBreakHyphen/>
        <w:t xml:space="preserve"> und Biogasanlagen Battin und Grabo sowie mögliche lokale Hotspots im Raum Gerbisbach/Annaburger Heide gerade eine transparente Darstellung der kumulativen Gesamtdeposition verlangt. In dieser Ausgestaltung bleibt der UVP</w:t>
      </w:r>
      <w:r w:rsidRPr="00C1257C">
        <w:rPr>
          <w:rFonts w:ascii="Nunito Sans" w:hAnsi="Nunito Sans"/>
          <w:sz w:val="24"/>
          <w:szCs w:val="24"/>
        </w:rPr>
        <w:noBreakHyphen/>
        <w:t>Nachtrag im Kern bei einer modellgetriebenen Anwendung von Abschneide</w:t>
      </w:r>
      <w:r w:rsidRPr="00C1257C">
        <w:rPr>
          <w:rFonts w:ascii="Nunito Sans" w:hAnsi="Nunito Sans"/>
          <w:sz w:val="24"/>
          <w:szCs w:val="24"/>
        </w:rPr>
        <w:noBreakHyphen/>
        <w:t xml:space="preserve"> und Bagatellschwellen und verfehlt damit die vom OVG Sachsen</w:t>
      </w:r>
      <w:r w:rsidRPr="00C1257C">
        <w:rPr>
          <w:rFonts w:ascii="Nunito Sans" w:hAnsi="Nunito Sans"/>
          <w:sz w:val="24"/>
          <w:szCs w:val="24"/>
        </w:rPr>
        <w:noBreakHyphen/>
        <w:t>Anhalt und vom BVerwG geforderte vertiefte, einzelfallbezogene und vorsorgeorientierte Prüfung, die über bloße Grenzwert</w:t>
      </w:r>
      <w:r w:rsidRPr="00C1257C">
        <w:rPr>
          <w:rFonts w:ascii="Nunito Sans" w:hAnsi="Nunito Sans"/>
          <w:sz w:val="24"/>
          <w:szCs w:val="24"/>
        </w:rPr>
        <w:noBreakHyphen/>
        <w:t xml:space="preserve"> und Schwellenkontrolle hinausgeht.</w:t>
      </w:r>
    </w:p>
    <w:p w14:paraId="6DEC52A0" w14:textId="5C11DC93" w:rsidR="00786851" w:rsidRPr="00C1257C" w:rsidRDefault="00786851" w:rsidP="00C1257C">
      <w:pPr>
        <w:ind w:right="567"/>
        <w:jc w:val="both"/>
        <w:rPr>
          <w:rFonts w:ascii="Nunito Sans" w:hAnsi="Nunito Sans"/>
          <w:sz w:val="24"/>
          <w:szCs w:val="24"/>
        </w:rPr>
      </w:pPr>
      <w:r w:rsidRPr="00C1257C">
        <w:rPr>
          <w:rFonts w:ascii="Nunito Sans" w:hAnsi="Nunito Sans"/>
          <w:sz w:val="24"/>
          <w:szCs w:val="24"/>
        </w:rPr>
        <w:t xml:space="preserve">Ich rüge daher, dass die Immissionsprognose wegen methodischer Unsicherheiten und der lediglich gutachterlichen Plausibilisierung nicht ausreicht, um die Anforderungen des § 5 Abs. 1 Nr. 2 BImSchG (Vorsorge gegen </w:t>
      </w:r>
      <w:r w:rsidRPr="00C1257C">
        <w:rPr>
          <w:rFonts w:ascii="Nunito Sans" w:hAnsi="Nunito Sans"/>
          <w:sz w:val="24"/>
          <w:szCs w:val="24"/>
        </w:rPr>
        <w:lastRenderedPageBreak/>
        <w:t>schädliche Umwelteinwirkungen und Schutz empfindlicher Ökosysteme) mit der nach § 6 Abs. 1 Nr. 1 BImSchG erforderlichen Sicherheit zu belegen.</w:t>
      </w:r>
    </w:p>
    <w:p w14:paraId="2568B0AA" w14:textId="77777777" w:rsidR="000E69B6" w:rsidRPr="00C1257C" w:rsidRDefault="000E69B6" w:rsidP="00C1257C">
      <w:pPr>
        <w:ind w:right="567"/>
        <w:jc w:val="both"/>
        <w:rPr>
          <w:rFonts w:ascii="Nunito Sans" w:hAnsi="Nunito Sans"/>
          <w:sz w:val="24"/>
          <w:szCs w:val="24"/>
        </w:rPr>
      </w:pPr>
    </w:p>
    <w:p w14:paraId="1E2ABF29" w14:textId="77777777" w:rsidR="00786851" w:rsidRPr="00C1257C" w:rsidRDefault="00786851" w:rsidP="000E7765">
      <w:pPr>
        <w:pStyle w:val="berschrift2"/>
      </w:pPr>
      <w:r w:rsidRPr="00C1257C">
        <w:t>Einwendung 2: Unzureichende FFH</w:t>
      </w:r>
      <w:r w:rsidRPr="00C1257C">
        <w:noBreakHyphen/>
        <w:t>Verträglichkeitsprüfung, insbesondere zu LRT 3150/3260 und Gewässer-/Uferbiotopen</w:t>
      </w:r>
    </w:p>
    <w:p w14:paraId="68F44542" w14:textId="77777777" w:rsidR="00786851" w:rsidRPr="00C1257C" w:rsidRDefault="00786851" w:rsidP="00C1257C">
      <w:pPr>
        <w:ind w:right="567"/>
        <w:jc w:val="both"/>
        <w:rPr>
          <w:rFonts w:ascii="Nunito Sans" w:hAnsi="Nunito Sans"/>
          <w:sz w:val="24"/>
          <w:szCs w:val="24"/>
        </w:rPr>
      </w:pPr>
      <w:r w:rsidRPr="00C1257C">
        <w:rPr>
          <w:rFonts w:ascii="Nunito Sans" w:hAnsi="Nunito Sans"/>
          <w:sz w:val="24"/>
          <w:szCs w:val="24"/>
        </w:rPr>
        <w:t>Die ergänzende Natura</w:t>
      </w:r>
      <w:r w:rsidRPr="00C1257C">
        <w:rPr>
          <w:rFonts w:ascii="Nunito Sans" w:hAnsi="Nunito Sans"/>
          <w:sz w:val="24"/>
          <w:szCs w:val="24"/>
        </w:rPr>
        <w:noBreakHyphen/>
        <w:t>2000-Verträglichkeitsuntersuchung (IBE 2026) beschreibt prüfrelevante FFH</w:t>
      </w:r>
      <w:r w:rsidRPr="00C1257C">
        <w:rPr>
          <w:rFonts w:ascii="Nunito Sans" w:hAnsi="Nunito Sans"/>
          <w:sz w:val="24"/>
          <w:szCs w:val="24"/>
        </w:rPr>
        <w:noBreakHyphen/>
        <w:t>Lebensraumtypen, insbesondere LRT 3150 (natürliche eutrophe Seen) und LRT 3260 (Flüsse mit charakteristischer Vegetation), sowie zahlreiche geschützte Gewässer</w:t>
      </w:r>
      <w:r w:rsidRPr="00C1257C">
        <w:rPr>
          <w:rFonts w:ascii="Nunito Sans" w:hAnsi="Nunito Sans"/>
          <w:sz w:val="24"/>
          <w:szCs w:val="24"/>
        </w:rPr>
        <w:noBreakHyphen/>
        <w:t xml:space="preserve"> und Uferbiotope im </w:t>
      </w:r>
      <w:proofErr w:type="spellStart"/>
      <w:r w:rsidRPr="00C1257C">
        <w:rPr>
          <w:rFonts w:ascii="Nunito Sans" w:hAnsi="Nunito Sans"/>
          <w:sz w:val="24"/>
          <w:szCs w:val="24"/>
        </w:rPr>
        <w:t>Wirkraum</w:t>
      </w:r>
      <w:proofErr w:type="spellEnd"/>
      <w:r w:rsidRPr="00C1257C">
        <w:rPr>
          <w:rFonts w:ascii="Nunito Sans" w:hAnsi="Nunito Sans"/>
          <w:sz w:val="24"/>
          <w:szCs w:val="24"/>
        </w:rPr>
        <w:t xml:space="preserve"> der Anlage.</w:t>
      </w:r>
    </w:p>
    <w:p w14:paraId="7E11EC1C" w14:textId="77777777" w:rsidR="00786851" w:rsidRPr="00C1257C" w:rsidRDefault="00786851" w:rsidP="00C1257C">
      <w:pPr>
        <w:ind w:right="567"/>
        <w:jc w:val="both"/>
        <w:rPr>
          <w:rFonts w:ascii="Nunito Sans" w:hAnsi="Nunito Sans"/>
          <w:sz w:val="24"/>
          <w:szCs w:val="24"/>
        </w:rPr>
      </w:pPr>
      <w:r w:rsidRPr="00C1257C">
        <w:rPr>
          <w:rFonts w:ascii="Nunito Sans" w:hAnsi="Nunito Sans"/>
          <w:sz w:val="24"/>
          <w:szCs w:val="24"/>
        </w:rPr>
        <w:t>Die Untersuchung kommt zum Ergebnis, dass:</w:t>
      </w:r>
    </w:p>
    <w:p w14:paraId="109BE709" w14:textId="77777777" w:rsidR="00786851" w:rsidRPr="00C1257C" w:rsidRDefault="00786851" w:rsidP="00C1257C">
      <w:pPr>
        <w:numPr>
          <w:ilvl w:val="0"/>
          <w:numId w:val="1"/>
        </w:numPr>
        <w:ind w:right="567"/>
        <w:jc w:val="both"/>
        <w:rPr>
          <w:rFonts w:ascii="Nunito Sans" w:hAnsi="Nunito Sans"/>
          <w:sz w:val="24"/>
          <w:szCs w:val="24"/>
        </w:rPr>
      </w:pPr>
      <w:r w:rsidRPr="00C1257C">
        <w:rPr>
          <w:rFonts w:ascii="Nunito Sans" w:hAnsi="Nunito Sans"/>
          <w:sz w:val="24"/>
          <w:szCs w:val="24"/>
        </w:rPr>
        <w:t xml:space="preserve">die Ammoniakkonzentrationen in der Luft außerhalb der Anlage den Wert von 2 µg/m³ nicht überschreiten und daher keine erheblichen Nachteile nach </w:t>
      </w:r>
      <w:proofErr w:type="gramStart"/>
      <w:r w:rsidRPr="00C1257C">
        <w:rPr>
          <w:rFonts w:ascii="Nunito Sans" w:hAnsi="Nunito Sans"/>
          <w:sz w:val="24"/>
          <w:szCs w:val="24"/>
        </w:rPr>
        <w:t>TA Luft</w:t>
      </w:r>
      <w:proofErr w:type="gramEnd"/>
      <w:r w:rsidRPr="00C1257C">
        <w:rPr>
          <w:rFonts w:ascii="Nunito Sans" w:hAnsi="Nunito Sans"/>
          <w:sz w:val="24"/>
          <w:szCs w:val="24"/>
        </w:rPr>
        <w:t xml:space="preserve"> zu erwarten sind, </w:t>
      </w:r>
    </w:p>
    <w:p w14:paraId="47FAF74C" w14:textId="77777777" w:rsidR="00786851" w:rsidRPr="00C1257C" w:rsidRDefault="00786851" w:rsidP="00C1257C">
      <w:pPr>
        <w:numPr>
          <w:ilvl w:val="0"/>
          <w:numId w:val="1"/>
        </w:numPr>
        <w:ind w:right="567"/>
        <w:jc w:val="both"/>
        <w:rPr>
          <w:rFonts w:ascii="Nunito Sans" w:hAnsi="Nunito Sans"/>
          <w:sz w:val="24"/>
          <w:szCs w:val="24"/>
        </w:rPr>
      </w:pPr>
      <w:r w:rsidRPr="00C1257C">
        <w:rPr>
          <w:rFonts w:ascii="Nunito Sans" w:hAnsi="Nunito Sans"/>
          <w:sz w:val="24"/>
          <w:szCs w:val="24"/>
        </w:rPr>
        <w:t>die aus AUSTAL</w:t>
      </w:r>
      <w:r w:rsidRPr="00C1257C">
        <w:rPr>
          <w:rFonts w:ascii="Nunito Sans" w:hAnsi="Nunito Sans"/>
          <w:sz w:val="24"/>
          <w:szCs w:val="24"/>
        </w:rPr>
        <w:noBreakHyphen/>
        <w:t>Prognose, UBA</w:t>
      </w:r>
      <w:r w:rsidRPr="00C1257C">
        <w:rPr>
          <w:rFonts w:ascii="Nunito Sans" w:hAnsi="Nunito Sans"/>
          <w:sz w:val="24"/>
          <w:szCs w:val="24"/>
        </w:rPr>
        <w:noBreakHyphen/>
        <w:t xml:space="preserve">Hintergrunddeposition und modellierten Critical Loads berechneten Gesamtbelastungen an keinem Beurteilungspunkt die standortspezifischen Critical Loads überschreiten, </w:t>
      </w:r>
    </w:p>
    <w:p w14:paraId="01EDECD7" w14:textId="77777777" w:rsidR="00786851" w:rsidRPr="00C1257C" w:rsidRDefault="00786851" w:rsidP="00C1257C">
      <w:pPr>
        <w:numPr>
          <w:ilvl w:val="0"/>
          <w:numId w:val="1"/>
        </w:numPr>
        <w:ind w:right="567"/>
        <w:jc w:val="both"/>
        <w:rPr>
          <w:rFonts w:ascii="Nunito Sans" w:hAnsi="Nunito Sans"/>
          <w:sz w:val="24"/>
          <w:szCs w:val="24"/>
        </w:rPr>
      </w:pPr>
      <w:r w:rsidRPr="00C1257C">
        <w:rPr>
          <w:rFonts w:ascii="Nunito Sans" w:hAnsi="Nunito Sans"/>
          <w:sz w:val="24"/>
          <w:szCs w:val="24"/>
        </w:rPr>
        <w:t>die Gesamtzusatzbelastung durch die Anlage jeweils weniger als 3 % des Beurteilungswerts erreicht (Bagatellschwelle).</w:t>
      </w:r>
    </w:p>
    <w:p w14:paraId="1FA3997F" w14:textId="77777777" w:rsidR="00786851" w:rsidRPr="00C1257C" w:rsidRDefault="00786851" w:rsidP="00C1257C">
      <w:pPr>
        <w:ind w:right="567"/>
        <w:jc w:val="both"/>
        <w:rPr>
          <w:rFonts w:ascii="Nunito Sans" w:hAnsi="Nunito Sans"/>
          <w:sz w:val="24"/>
          <w:szCs w:val="24"/>
        </w:rPr>
      </w:pPr>
      <w:r w:rsidRPr="00C1257C">
        <w:rPr>
          <w:rFonts w:ascii="Nunito Sans" w:hAnsi="Nunito Sans"/>
          <w:sz w:val="24"/>
          <w:szCs w:val="24"/>
        </w:rPr>
        <w:t> </w:t>
      </w:r>
    </w:p>
    <w:p w14:paraId="6244691D" w14:textId="77777777" w:rsidR="00786851" w:rsidRPr="00C1257C" w:rsidRDefault="00786851" w:rsidP="000E7765">
      <w:pPr>
        <w:pStyle w:val="berschrift3"/>
      </w:pPr>
      <w:r w:rsidRPr="00C1257C">
        <w:t>Einwendungen:</w:t>
      </w:r>
    </w:p>
    <w:p w14:paraId="7581756B" w14:textId="77777777" w:rsidR="00786851" w:rsidRPr="00C1257C" w:rsidRDefault="00786851" w:rsidP="00C1257C">
      <w:pPr>
        <w:ind w:right="567"/>
        <w:jc w:val="both"/>
        <w:rPr>
          <w:rFonts w:ascii="Nunito Sans" w:hAnsi="Nunito Sans"/>
          <w:sz w:val="24"/>
          <w:szCs w:val="24"/>
        </w:rPr>
      </w:pPr>
      <w:r w:rsidRPr="00C1257C">
        <w:rPr>
          <w:rFonts w:ascii="Nunito Sans" w:hAnsi="Nunito Sans"/>
          <w:sz w:val="24"/>
          <w:szCs w:val="24"/>
        </w:rPr>
        <w:t>Bereits das OVG Sachsen</w:t>
      </w:r>
      <w:r w:rsidRPr="00C1257C">
        <w:rPr>
          <w:rFonts w:ascii="Nunito Sans" w:hAnsi="Nunito Sans"/>
          <w:sz w:val="24"/>
          <w:szCs w:val="24"/>
        </w:rPr>
        <w:noBreakHyphen/>
        <w:t xml:space="preserve">Anhalt hat in seinem Urteil vom 08.06.2018 (2 L 11/16) betont, dass beim Biotopschutz die bloße Überschreitung oder Einhaltung von Critical Loads kein alleiniger Maßstab für die Erheblichkeit ist und eine Sonderfallprüfung erforderlich bleibt. Die Gutachter übertragen dieses Konzept zwar, ziehen jedoch aus den modellierten Werten unmittelbar die Schlussfolgerung „keine erhebliche Beeinträchtigung“, ohne für kritische Biotope eine vertiefte, ökologische Einzelfallwürdigung zu dokumentieren. </w:t>
      </w:r>
    </w:p>
    <w:p w14:paraId="02827BB1" w14:textId="77777777" w:rsidR="00786851" w:rsidRPr="00C1257C" w:rsidRDefault="00786851" w:rsidP="00C1257C">
      <w:pPr>
        <w:ind w:right="567"/>
        <w:jc w:val="both"/>
        <w:rPr>
          <w:rFonts w:ascii="Nunito Sans" w:hAnsi="Nunito Sans"/>
          <w:sz w:val="24"/>
          <w:szCs w:val="24"/>
        </w:rPr>
      </w:pPr>
      <w:r w:rsidRPr="00C1257C">
        <w:rPr>
          <w:rFonts w:ascii="Nunito Sans" w:hAnsi="Nunito Sans"/>
          <w:sz w:val="24"/>
          <w:szCs w:val="24"/>
        </w:rPr>
        <w:t>Für das Staugewässer südlich der Anlage (Biotop 47) wurde – ausdrücklich wegen der gerichtlichen Diskussion – vorsorglich eine Einordnung als LRT 3150 vorgenommen. Angesichts der früheren fachlichen Kontroversen und der hohen Sensibilität eutropher Stillgewässer gegenüber N</w:t>
      </w:r>
      <w:r w:rsidRPr="00C1257C">
        <w:rPr>
          <w:rFonts w:ascii="Nunito Sans" w:hAnsi="Nunito Sans"/>
          <w:sz w:val="24"/>
          <w:szCs w:val="24"/>
        </w:rPr>
        <w:noBreakHyphen/>
        <w:t xml:space="preserve">Einträgen hätte hier eine besonders strenge, konservative Beurteilung erfolgen müssen. Stattdessen wird im Wesentlichen auf modellierte Critical Loads mit sehr hohen Grenzwerten und die 3 %-Bagatellschwelle abgestellt. </w:t>
      </w:r>
    </w:p>
    <w:p w14:paraId="62CFE57A" w14:textId="77777777" w:rsidR="00786851" w:rsidRPr="00C1257C" w:rsidRDefault="00786851" w:rsidP="00C1257C">
      <w:pPr>
        <w:ind w:right="567"/>
        <w:jc w:val="both"/>
        <w:rPr>
          <w:rFonts w:ascii="Nunito Sans" w:hAnsi="Nunito Sans"/>
          <w:sz w:val="24"/>
          <w:szCs w:val="24"/>
        </w:rPr>
      </w:pPr>
      <w:r w:rsidRPr="00C1257C">
        <w:rPr>
          <w:rFonts w:ascii="Nunito Sans" w:hAnsi="Nunito Sans"/>
          <w:sz w:val="24"/>
          <w:szCs w:val="24"/>
        </w:rPr>
        <w:lastRenderedPageBreak/>
        <w:t>Das Gutachten räumt selbst ein, dass die Modellierung von Critical Loads für bestimmte Ökosystemtypen – insbesondere Gewässer, Auen, Hecken, Baumreihen und sonstige lineare und kleinräumige Strukturen – standorttypische Besonderheiten nicht vollständig erfasst und daher nur eine quantifizierende Orientierung bieten kann. In Abschnitt 5.4.3.2 und 6.3.2.2 werden explizit Unsicherheiten des Modells und der Eingangsdaten genannt. Die Autoren betonen, dass bei Überschreitung oder Ausreizung standortspezifischer Critical Loads eine Einzelfalldiskussion der Erheblichkeit erforderlich ist und dass die CL</w:t>
      </w:r>
      <w:r w:rsidRPr="00C1257C">
        <w:rPr>
          <w:rFonts w:ascii="Nunito Sans" w:hAnsi="Nunito Sans"/>
          <w:sz w:val="24"/>
          <w:szCs w:val="24"/>
        </w:rPr>
        <w:noBreakHyphen/>
        <w:t>Werte keine „Grenzwerte im Sinne eines absolut sicheren Schutzes“ darstellen, sondern Vorsorge</w:t>
      </w:r>
      <w:r w:rsidRPr="00C1257C">
        <w:rPr>
          <w:rFonts w:ascii="Nunito Sans" w:hAnsi="Nunito Sans"/>
          <w:sz w:val="24"/>
          <w:szCs w:val="24"/>
        </w:rPr>
        <w:noBreakHyphen/>
        <w:t>Schwellen, die einer fachlichen Interpretation bedürfen.</w:t>
      </w:r>
    </w:p>
    <w:p w14:paraId="5CA371A8" w14:textId="77777777" w:rsidR="00786851" w:rsidRPr="00C1257C" w:rsidRDefault="00786851" w:rsidP="00C1257C">
      <w:pPr>
        <w:ind w:right="567"/>
        <w:jc w:val="both"/>
        <w:rPr>
          <w:rFonts w:ascii="Nunito Sans" w:hAnsi="Nunito Sans"/>
          <w:sz w:val="24"/>
          <w:szCs w:val="24"/>
        </w:rPr>
      </w:pPr>
      <w:r w:rsidRPr="00C1257C">
        <w:rPr>
          <w:rFonts w:ascii="Nunito Sans" w:hAnsi="Nunito Sans"/>
          <w:sz w:val="24"/>
          <w:szCs w:val="24"/>
        </w:rPr>
        <w:t>Gerade vor diesem Hintergrund hätte für das vorsorglich als LRT 3150 behandelte Staugewässer (Biotop 47) und die daran angebundenen Graben</w:t>
      </w:r>
      <w:r w:rsidRPr="00C1257C">
        <w:rPr>
          <w:rFonts w:ascii="Nunito Sans" w:hAnsi="Nunito Sans"/>
          <w:sz w:val="24"/>
          <w:szCs w:val="24"/>
        </w:rPr>
        <w:noBreakHyphen/>
        <w:t>Biotope (z.B. Biotop 48 „Zufluss zum Staugewässer“ sowie weitere Röhricht</w:t>
      </w:r>
      <w:r w:rsidRPr="00C1257C">
        <w:rPr>
          <w:rFonts w:ascii="Nunito Sans" w:hAnsi="Nunito Sans"/>
          <w:sz w:val="24"/>
          <w:szCs w:val="24"/>
        </w:rPr>
        <w:noBreakHyphen/>
        <w:t xml:space="preserve"> und </w:t>
      </w:r>
      <w:proofErr w:type="spellStart"/>
      <w:r w:rsidRPr="00C1257C">
        <w:rPr>
          <w:rFonts w:ascii="Nunito Sans" w:hAnsi="Nunito Sans"/>
          <w:sz w:val="24"/>
          <w:szCs w:val="24"/>
        </w:rPr>
        <w:t>Seggenriede</w:t>
      </w:r>
      <w:proofErr w:type="spellEnd"/>
      <w:r w:rsidRPr="00C1257C">
        <w:rPr>
          <w:rFonts w:ascii="Nunito Sans" w:hAnsi="Nunito Sans"/>
          <w:sz w:val="24"/>
          <w:szCs w:val="24"/>
        </w:rPr>
        <w:t xml:space="preserve"> im unmittelbaren Einwirkungsbereich) eine qualitativ</w:t>
      </w:r>
      <w:r w:rsidRPr="00C1257C">
        <w:rPr>
          <w:rFonts w:ascii="Nunito Sans" w:hAnsi="Nunito Sans"/>
          <w:sz w:val="24"/>
          <w:szCs w:val="24"/>
        </w:rPr>
        <w:noBreakHyphen/>
        <w:t>ökologische Einzelfallwürdigung erfolgen müssen, die über den bloßen CL</w:t>
      </w:r>
      <w:r w:rsidRPr="00C1257C">
        <w:rPr>
          <w:rFonts w:ascii="Nunito Sans" w:hAnsi="Nunito Sans"/>
          <w:sz w:val="24"/>
          <w:szCs w:val="24"/>
        </w:rPr>
        <w:noBreakHyphen/>
        <w:t>Vergleich hinausgeht. Eine solche Einzelfallprüfung würde insbesondere die tatsächliche trophische Situation, die bestehende Hintergrundbelastung, hydrologische Besonderheiten des Staugewässers sowie seine Funktion als Sammelbecken für anlagennahe Einträge in den Blick nehmen und prüfen, ob bereits ein ökologisch kritischer Zustand vorliegt, in dem zusätzliche Einträge – selbst unterhalb eines hohen CL – zu relevanten Verschlechterungen führen können. Die vorliegenden Unterlagen beschränken sich demgegenüber auf die Aussage, dass die modellierte Gesamtdeposition die sehr hoch angesetzten CL</w:t>
      </w:r>
      <w:r w:rsidRPr="00C1257C">
        <w:rPr>
          <w:rFonts w:ascii="Nunito Sans" w:hAnsi="Nunito Sans"/>
          <w:sz w:val="24"/>
          <w:szCs w:val="24"/>
        </w:rPr>
        <w:noBreakHyphen/>
        <w:t xml:space="preserve">Werte nicht überschreite und die Zusatzbelastung &lt; 3 % liege; eine </w:t>
      </w:r>
      <w:proofErr w:type="gramStart"/>
      <w:r w:rsidRPr="00C1257C">
        <w:rPr>
          <w:rFonts w:ascii="Nunito Sans" w:hAnsi="Nunito Sans"/>
          <w:sz w:val="24"/>
          <w:szCs w:val="24"/>
        </w:rPr>
        <w:t>darüber hinausgehende</w:t>
      </w:r>
      <w:proofErr w:type="gramEnd"/>
      <w:r w:rsidRPr="00C1257C">
        <w:rPr>
          <w:rFonts w:ascii="Nunito Sans" w:hAnsi="Nunito Sans"/>
          <w:sz w:val="24"/>
          <w:szCs w:val="24"/>
        </w:rPr>
        <w:t xml:space="preserve"> qualitative Bewertung der ökologischen Belastbarkeit und der Vulnerabilität der konkreten Biotope entlang der Gräben und Stillgewässer südlich und südöstlich der Anlage findet sich nicht.</w:t>
      </w:r>
    </w:p>
    <w:p w14:paraId="054C1FF0" w14:textId="77777777" w:rsidR="00786851" w:rsidRPr="00C1257C" w:rsidRDefault="00786851" w:rsidP="00C1257C">
      <w:pPr>
        <w:ind w:right="567"/>
        <w:jc w:val="both"/>
        <w:rPr>
          <w:rFonts w:ascii="Nunito Sans" w:hAnsi="Nunito Sans"/>
          <w:sz w:val="24"/>
          <w:szCs w:val="24"/>
        </w:rPr>
      </w:pPr>
      <w:r w:rsidRPr="00C1257C">
        <w:rPr>
          <w:rFonts w:ascii="Nunito Sans" w:hAnsi="Nunito Sans"/>
          <w:sz w:val="24"/>
          <w:szCs w:val="24"/>
        </w:rPr>
        <w:t>Unter Berücksichtigung der eigenen methodischen Einschränkungen der Critical</w:t>
      </w:r>
      <w:r w:rsidRPr="00C1257C">
        <w:rPr>
          <w:rFonts w:ascii="Nunito Sans" w:hAnsi="Nunito Sans"/>
          <w:sz w:val="24"/>
          <w:szCs w:val="24"/>
        </w:rPr>
        <w:noBreakHyphen/>
        <w:t>Load</w:t>
      </w:r>
      <w:r w:rsidRPr="00C1257C">
        <w:rPr>
          <w:rFonts w:ascii="Nunito Sans" w:hAnsi="Nunito Sans"/>
          <w:sz w:val="24"/>
          <w:szCs w:val="24"/>
        </w:rPr>
        <w:noBreakHyphen/>
        <w:t>Modellierung und der besonderen Empfindlichkeit von LRT 3150/3260</w:t>
      </w:r>
      <w:r w:rsidRPr="00C1257C">
        <w:rPr>
          <w:rFonts w:ascii="Nunito Sans" w:hAnsi="Nunito Sans"/>
          <w:sz w:val="24"/>
          <w:szCs w:val="24"/>
        </w:rPr>
        <w:noBreakHyphen/>
        <w:t>Gewässern gegenüber zusätzlichen Stickstoffeinträgen sowie der Schutzstellung der Graben</w:t>
      </w:r>
      <w:r w:rsidRPr="00C1257C">
        <w:rPr>
          <w:rFonts w:ascii="Nunito Sans" w:hAnsi="Nunito Sans"/>
          <w:sz w:val="24"/>
          <w:szCs w:val="24"/>
        </w:rPr>
        <w:noBreakHyphen/>
        <w:t xml:space="preserve"> und Stillgewässerbiotope nach § 30 BNatSchG genügt es nicht, die Unerheblichkeit der Beeinträchtigungen allein aus der Unterschreitung hoher CL</w:t>
      </w:r>
      <w:r w:rsidRPr="00C1257C">
        <w:rPr>
          <w:rFonts w:ascii="Nunito Sans" w:hAnsi="Nunito Sans"/>
          <w:sz w:val="24"/>
          <w:szCs w:val="24"/>
        </w:rPr>
        <w:noBreakHyphen/>
        <w:t>Werte und der Einhaltung der 3</w:t>
      </w:r>
      <w:r w:rsidRPr="00C1257C">
        <w:rPr>
          <w:rFonts w:ascii="Nunito Sans" w:hAnsi="Nunito Sans"/>
          <w:sz w:val="24"/>
          <w:szCs w:val="24"/>
        </w:rPr>
        <w:noBreakHyphen/>
        <w:t>%</w:t>
      </w:r>
      <w:r w:rsidRPr="00C1257C">
        <w:rPr>
          <w:rFonts w:ascii="Nunito Sans" w:hAnsi="Nunito Sans"/>
          <w:sz w:val="24"/>
          <w:szCs w:val="24"/>
        </w:rPr>
        <w:noBreakHyphen/>
        <w:t>Bagatellschwelle abzuleiten. Solange eine standortspezifische, konservative Einzelfallbewertung der sensiblen, exponierten Gewässer</w:t>
      </w:r>
      <w:r w:rsidRPr="00C1257C">
        <w:rPr>
          <w:rFonts w:ascii="Nunito Sans" w:hAnsi="Nunito Sans"/>
          <w:sz w:val="24"/>
          <w:szCs w:val="24"/>
        </w:rPr>
        <w:noBreakHyphen/>
        <w:t xml:space="preserve"> und Uferbiotope im unmittelbaren Anlageneinwirkungsbereich fehlt, ist FFH</w:t>
      </w:r>
      <w:r w:rsidRPr="00C1257C">
        <w:rPr>
          <w:rFonts w:ascii="Nunito Sans" w:hAnsi="Nunito Sans"/>
          <w:sz w:val="24"/>
          <w:szCs w:val="24"/>
        </w:rPr>
        <w:noBreakHyphen/>
        <w:t xml:space="preserve">rechtlich nicht zweifelsfrei nachgewiesen, dass das Vorhaben im Hinblick auf LRT 3150/3260 und die gesetzlichen Biotope des § 30 BNatSchG verträglich ist. Damit bleiben die </w:t>
      </w:r>
      <w:r w:rsidRPr="00C1257C">
        <w:rPr>
          <w:rFonts w:ascii="Nunito Sans" w:hAnsi="Nunito Sans"/>
          <w:sz w:val="24"/>
          <w:szCs w:val="24"/>
        </w:rPr>
        <w:lastRenderedPageBreak/>
        <w:t>Anforderungen des Art. 6 Abs. 3 FFH</w:t>
      </w:r>
      <w:r w:rsidRPr="00C1257C">
        <w:rPr>
          <w:rFonts w:ascii="Nunito Sans" w:hAnsi="Nunito Sans"/>
          <w:sz w:val="24"/>
          <w:szCs w:val="24"/>
        </w:rPr>
        <w:noBreakHyphen/>
        <w:t xml:space="preserve">Richtlinie und des § 34 BNatSchG an eine gesicherte Verträglichkeitsprognose – und damit zugleich die Genehmigungsvoraussetzungen des § 6 Abs. 1 Nr. 2 </w:t>
      </w:r>
      <w:proofErr w:type="spellStart"/>
      <w:r w:rsidRPr="00C1257C">
        <w:rPr>
          <w:rFonts w:ascii="Nunito Sans" w:hAnsi="Nunito Sans"/>
          <w:sz w:val="24"/>
          <w:szCs w:val="24"/>
        </w:rPr>
        <w:t>i.V.m</w:t>
      </w:r>
      <w:proofErr w:type="spellEnd"/>
      <w:r w:rsidRPr="00C1257C">
        <w:rPr>
          <w:rFonts w:ascii="Nunito Sans" w:hAnsi="Nunito Sans"/>
          <w:sz w:val="24"/>
          <w:szCs w:val="24"/>
        </w:rPr>
        <w:t>. § 5 Abs. 1 Nr. 2 BImSchG – aus anwaltlicher Sicht nicht erfüllt</w:t>
      </w:r>
    </w:p>
    <w:p w14:paraId="31E5625D" w14:textId="5014391C" w:rsidR="00786851" w:rsidRPr="00C1257C" w:rsidRDefault="00786851" w:rsidP="00C1257C">
      <w:pPr>
        <w:ind w:right="567"/>
        <w:jc w:val="both"/>
        <w:rPr>
          <w:rFonts w:ascii="Nunito Sans" w:hAnsi="Nunito Sans"/>
          <w:sz w:val="24"/>
          <w:szCs w:val="24"/>
        </w:rPr>
      </w:pPr>
      <w:r w:rsidRPr="00C1257C">
        <w:rPr>
          <w:rFonts w:ascii="Nunito Sans" w:hAnsi="Nunito Sans"/>
          <w:sz w:val="24"/>
          <w:szCs w:val="24"/>
        </w:rPr>
        <w:t>Aus meiner Sicht ist somit nicht zweifelsfrei nachgewiesen, dass das Vorhaben FFH</w:t>
      </w:r>
      <w:r w:rsidRPr="00C1257C">
        <w:rPr>
          <w:rFonts w:ascii="Nunito Sans" w:hAnsi="Nunito Sans"/>
          <w:sz w:val="24"/>
          <w:szCs w:val="24"/>
        </w:rPr>
        <w:noBreakHyphen/>
        <w:t>rechtlich verträglich ist, insbesondere im Hinblick auf LRT 3150/3260 und die Schutzgüter des § 30 BNatSchG. Damit sind die Anforderungen des Art. 6 Abs. 3 FFH</w:t>
      </w:r>
      <w:r w:rsidRPr="00C1257C">
        <w:rPr>
          <w:rFonts w:ascii="Nunito Sans" w:hAnsi="Nunito Sans"/>
          <w:sz w:val="24"/>
          <w:szCs w:val="24"/>
        </w:rPr>
        <w:noBreakHyphen/>
        <w:t>Richtlinie und des § 34 BNatSchG im Rahmen von § 6 Abs. 1 Nr. 2 BImSchG nicht erfüllt.</w:t>
      </w:r>
    </w:p>
    <w:p w14:paraId="1CBB8D59" w14:textId="77777777" w:rsidR="000E69B6" w:rsidRPr="00C1257C" w:rsidRDefault="000E69B6" w:rsidP="00C1257C">
      <w:pPr>
        <w:ind w:right="567"/>
        <w:jc w:val="both"/>
        <w:rPr>
          <w:rFonts w:ascii="Nunito Sans" w:hAnsi="Nunito Sans"/>
          <w:sz w:val="24"/>
          <w:szCs w:val="24"/>
        </w:rPr>
      </w:pPr>
    </w:p>
    <w:p w14:paraId="47FB479A" w14:textId="77777777" w:rsidR="00786851" w:rsidRPr="00C1257C" w:rsidRDefault="00786851" w:rsidP="000E7765">
      <w:pPr>
        <w:pStyle w:val="berschrift1"/>
      </w:pPr>
      <w:r w:rsidRPr="00C1257C">
        <w:t>Einwendung 3: Unzureichende Berücksichtigung kumulativer Wirkungen mit anderen Tierhaltungs-/Biogasanlagen</w:t>
      </w:r>
    </w:p>
    <w:p w14:paraId="0DF6B32B" w14:textId="77777777" w:rsidR="00786851" w:rsidRPr="00C1257C" w:rsidRDefault="00786851" w:rsidP="00C1257C">
      <w:pPr>
        <w:ind w:right="567"/>
        <w:jc w:val="both"/>
        <w:rPr>
          <w:rFonts w:ascii="Nunito Sans" w:hAnsi="Nunito Sans"/>
          <w:sz w:val="24"/>
          <w:szCs w:val="24"/>
        </w:rPr>
      </w:pPr>
      <w:r w:rsidRPr="00C1257C">
        <w:rPr>
          <w:rFonts w:ascii="Nunito Sans" w:hAnsi="Nunito Sans"/>
          <w:sz w:val="24"/>
          <w:szCs w:val="24"/>
        </w:rPr>
        <w:t>Der UVP</w:t>
      </w:r>
      <w:r w:rsidRPr="00C1257C">
        <w:rPr>
          <w:rFonts w:ascii="Nunito Sans" w:hAnsi="Nunito Sans"/>
          <w:sz w:val="24"/>
          <w:szCs w:val="24"/>
        </w:rPr>
        <w:noBreakHyphen/>
        <w:t>Bericht (Nachtrag) und die Natura</w:t>
      </w:r>
      <w:r w:rsidRPr="00C1257C">
        <w:rPr>
          <w:rFonts w:ascii="Nunito Sans" w:hAnsi="Nunito Sans"/>
          <w:sz w:val="24"/>
          <w:szCs w:val="24"/>
        </w:rPr>
        <w:noBreakHyphen/>
        <w:t>2000</w:t>
      </w:r>
      <w:r w:rsidRPr="00C1257C">
        <w:rPr>
          <w:rFonts w:ascii="Nunito Sans" w:hAnsi="Nunito Sans"/>
          <w:sz w:val="24"/>
          <w:szCs w:val="24"/>
        </w:rPr>
        <w:noBreakHyphen/>
        <w:t xml:space="preserve">Untersuchung erkennen die beiden weiteren immissionsschutzrechtlich genehmigten </w:t>
      </w:r>
      <w:proofErr w:type="spellStart"/>
      <w:r w:rsidRPr="00C1257C">
        <w:rPr>
          <w:rFonts w:ascii="Nunito Sans" w:hAnsi="Nunito Sans"/>
          <w:sz w:val="24"/>
          <w:szCs w:val="24"/>
        </w:rPr>
        <w:t>Rinderhaltungs</w:t>
      </w:r>
      <w:proofErr w:type="spellEnd"/>
      <w:r w:rsidRPr="00C1257C">
        <w:rPr>
          <w:rFonts w:ascii="Nunito Sans" w:hAnsi="Nunito Sans"/>
          <w:sz w:val="24"/>
          <w:szCs w:val="24"/>
        </w:rPr>
        <w:noBreakHyphen/>
        <w:t xml:space="preserve"> und Biogasanlagen Battin und Grabo als relevante Vorbelastungen an und berücksichtigen sie in den Ausbreitungsrechnungen. Die tabellarische Auswertung der Gesamtdeposition setzt sich aus Hintergrunddeposition, vorhabennahen Vorbelastungen und Zusatzbelastung der Schweinemastanlage zusammen.</w:t>
      </w:r>
    </w:p>
    <w:p w14:paraId="4C443264" w14:textId="77777777" w:rsidR="00786851" w:rsidRPr="00C1257C" w:rsidRDefault="00786851" w:rsidP="00EB2995">
      <w:pPr>
        <w:pStyle w:val="berschrift3"/>
      </w:pPr>
      <w:r w:rsidRPr="00C1257C">
        <w:t>Einwendungen:</w:t>
      </w:r>
    </w:p>
    <w:p w14:paraId="6F4E01E3" w14:textId="77777777" w:rsidR="00786851" w:rsidRPr="00C1257C" w:rsidRDefault="00786851" w:rsidP="00C1257C">
      <w:pPr>
        <w:ind w:right="567"/>
        <w:jc w:val="both"/>
        <w:rPr>
          <w:rFonts w:ascii="Nunito Sans" w:hAnsi="Nunito Sans"/>
          <w:sz w:val="24"/>
          <w:szCs w:val="24"/>
        </w:rPr>
      </w:pPr>
      <w:r w:rsidRPr="00C1257C">
        <w:rPr>
          <w:rFonts w:ascii="Nunito Sans" w:hAnsi="Nunito Sans"/>
          <w:sz w:val="24"/>
          <w:szCs w:val="24"/>
        </w:rPr>
        <w:t xml:space="preserve">Die kumulative Betrachtung stützt sich wesentlich auf die Annahme, dass seit 2017 keine zusätzlichen </w:t>
      </w:r>
      <w:proofErr w:type="spellStart"/>
      <w:r w:rsidRPr="00C1257C">
        <w:rPr>
          <w:rFonts w:ascii="Nunito Sans" w:hAnsi="Nunito Sans"/>
          <w:sz w:val="24"/>
          <w:szCs w:val="24"/>
        </w:rPr>
        <w:t>vorhabensnahen</w:t>
      </w:r>
      <w:proofErr w:type="spellEnd"/>
      <w:r w:rsidRPr="00C1257C">
        <w:rPr>
          <w:rFonts w:ascii="Nunito Sans" w:hAnsi="Nunito Sans"/>
          <w:sz w:val="24"/>
          <w:szCs w:val="24"/>
        </w:rPr>
        <w:t xml:space="preserve"> Stickstoffeinträge &gt; 0,3 kg N/ha/a hinzugekommen seien, weshalb ältere Projekte und Anlagen (seit Ausweisung des FFH</w:t>
      </w:r>
      <w:r w:rsidRPr="00C1257C">
        <w:rPr>
          <w:rFonts w:ascii="Nunito Sans" w:hAnsi="Nunito Sans"/>
          <w:sz w:val="24"/>
          <w:szCs w:val="24"/>
        </w:rPr>
        <w:noBreakHyphen/>
        <w:t xml:space="preserve">Gebiets) nicht in einer vollständigen Summationsprüfung einbezogen wurden. </w:t>
      </w:r>
    </w:p>
    <w:p w14:paraId="1EAB6052" w14:textId="77777777" w:rsidR="00786851" w:rsidRPr="00C1257C" w:rsidRDefault="00786851" w:rsidP="00C1257C">
      <w:pPr>
        <w:ind w:right="567"/>
        <w:jc w:val="both"/>
        <w:rPr>
          <w:rFonts w:ascii="Nunito Sans" w:hAnsi="Nunito Sans"/>
          <w:sz w:val="24"/>
          <w:szCs w:val="24"/>
        </w:rPr>
      </w:pPr>
      <w:r w:rsidRPr="00C1257C">
        <w:rPr>
          <w:rFonts w:ascii="Nunito Sans" w:hAnsi="Nunito Sans"/>
          <w:sz w:val="24"/>
          <w:szCs w:val="24"/>
        </w:rPr>
        <w:t>Die Entwicklung der Hintergrunddeposition wird auf Basis UBA</w:t>
      </w:r>
      <w:r w:rsidRPr="00C1257C">
        <w:rPr>
          <w:rFonts w:ascii="Nunito Sans" w:hAnsi="Nunito Sans"/>
          <w:sz w:val="24"/>
          <w:szCs w:val="24"/>
        </w:rPr>
        <w:noBreakHyphen/>
        <w:t>Rasterdaten mit rückläufigem Trend dargestellt; daraus wird geschlossen, dass eine rückwirkende Betrachtung seit Ausweisung des FFH</w:t>
      </w:r>
      <w:r w:rsidRPr="00C1257C">
        <w:rPr>
          <w:rFonts w:ascii="Nunito Sans" w:hAnsi="Nunito Sans"/>
          <w:sz w:val="24"/>
          <w:szCs w:val="24"/>
        </w:rPr>
        <w:noBreakHyphen/>
        <w:t>Gebiets nicht erforderlich sei. Diese Argumentation verengt die kumulative Perspektive und blendet potenzielle lokale Hot</w:t>
      </w:r>
      <w:r w:rsidRPr="00C1257C">
        <w:rPr>
          <w:rFonts w:ascii="Nunito Sans" w:hAnsi="Nunito Sans"/>
          <w:sz w:val="24"/>
          <w:szCs w:val="24"/>
        </w:rPr>
        <w:noBreakHyphen/>
        <w:t>Spots (Tierhaltungscluster im Raum Jessen/Annaburger Heide) aus, die gerade für FFH</w:t>
      </w:r>
      <w:r w:rsidRPr="00C1257C">
        <w:rPr>
          <w:rFonts w:ascii="Nunito Sans" w:hAnsi="Nunito Sans"/>
          <w:sz w:val="24"/>
          <w:szCs w:val="24"/>
        </w:rPr>
        <w:noBreakHyphen/>
        <w:t>Lebensräume und geschützte Biotope maßgeblich sein können.</w:t>
      </w:r>
    </w:p>
    <w:p w14:paraId="6623E8F9" w14:textId="4CEB228A" w:rsidR="00786851" w:rsidRPr="00C1257C" w:rsidRDefault="00786851" w:rsidP="00C1257C">
      <w:pPr>
        <w:ind w:right="567"/>
        <w:jc w:val="both"/>
        <w:rPr>
          <w:rFonts w:ascii="Nunito Sans" w:hAnsi="Nunito Sans"/>
          <w:sz w:val="24"/>
          <w:szCs w:val="24"/>
        </w:rPr>
      </w:pPr>
      <w:r w:rsidRPr="00C1257C">
        <w:rPr>
          <w:rFonts w:ascii="Nunito Sans" w:hAnsi="Nunito Sans"/>
          <w:sz w:val="24"/>
          <w:szCs w:val="24"/>
        </w:rPr>
        <w:t xml:space="preserve">Damit ist aus der hier vertretenen Sicht die Summationswirkung nach dem Stickstoffleitfaden LAI/LANA 2019 und der Rechtsprechung des BVerwG (zur </w:t>
      </w:r>
      <w:r w:rsidRPr="00C1257C">
        <w:rPr>
          <w:rFonts w:ascii="Nunito Sans" w:hAnsi="Nunito Sans"/>
          <w:sz w:val="24"/>
          <w:szCs w:val="24"/>
        </w:rPr>
        <w:lastRenderedPageBreak/>
        <w:t>kumulativen Bagatellschwelle und FFH</w:t>
      </w:r>
      <w:r w:rsidRPr="00C1257C">
        <w:rPr>
          <w:rFonts w:ascii="Nunito Sans" w:hAnsi="Nunito Sans"/>
          <w:sz w:val="24"/>
          <w:szCs w:val="24"/>
        </w:rPr>
        <w:noBreakHyphen/>
        <w:t xml:space="preserve">Prüfung) nicht hinreichend vorsorgegerecht berücksichtigt. Insbesondere fehlt eine transparente Darstellung, wie sich die Gesamtdeposition aus allen relevanten Vorhaben im </w:t>
      </w:r>
      <w:proofErr w:type="spellStart"/>
      <w:r w:rsidRPr="00C1257C">
        <w:rPr>
          <w:rFonts w:ascii="Nunito Sans" w:hAnsi="Nunito Sans"/>
          <w:sz w:val="24"/>
          <w:szCs w:val="24"/>
        </w:rPr>
        <w:t>Wirkraum</w:t>
      </w:r>
      <w:proofErr w:type="spellEnd"/>
      <w:r w:rsidRPr="00C1257C">
        <w:rPr>
          <w:rFonts w:ascii="Nunito Sans" w:hAnsi="Nunito Sans"/>
          <w:sz w:val="24"/>
          <w:szCs w:val="24"/>
        </w:rPr>
        <w:t xml:space="preserve"> über längere Zeiträume entwickelt hat.</w:t>
      </w:r>
    </w:p>
    <w:p w14:paraId="0EA19F37" w14:textId="77777777" w:rsidR="000E69B6" w:rsidRPr="00C1257C" w:rsidRDefault="000E69B6" w:rsidP="00C1257C">
      <w:pPr>
        <w:ind w:right="567"/>
        <w:jc w:val="both"/>
        <w:rPr>
          <w:rFonts w:ascii="Nunito Sans" w:hAnsi="Nunito Sans"/>
          <w:sz w:val="24"/>
          <w:szCs w:val="24"/>
        </w:rPr>
      </w:pPr>
    </w:p>
    <w:p w14:paraId="0AAD822F" w14:textId="77777777" w:rsidR="00786851" w:rsidRPr="00C1257C" w:rsidRDefault="00786851" w:rsidP="00EB2995">
      <w:pPr>
        <w:pStyle w:val="berschrift2"/>
      </w:pPr>
      <w:r w:rsidRPr="00C1257C">
        <w:t>Einwendung 4: UVP</w:t>
      </w:r>
      <w:r w:rsidRPr="00C1257C">
        <w:noBreakHyphen/>
        <w:t>Nachtrag und Öffentlichkeitsbeteiligung nicht ausreichend zur Heilung der festgestellten Verfahrensmängel</w:t>
      </w:r>
    </w:p>
    <w:p w14:paraId="3D6803DD" w14:textId="77777777" w:rsidR="00786851" w:rsidRPr="00C1257C" w:rsidRDefault="00786851" w:rsidP="00C1257C">
      <w:pPr>
        <w:ind w:right="567"/>
        <w:jc w:val="both"/>
        <w:rPr>
          <w:rFonts w:ascii="Nunito Sans" w:hAnsi="Nunito Sans"/>
          <w:sz w:val="24"/>
          <w:szCs w:val="24"/>
        </w:rPr>
      </w:pPr>
      <w:r w:rsidRPr="00C1257C">
        <w:rPr>
          <w:rFonts w:ascii="Nunito Sans" w:hAnsi="Nunito Sans"/>
          <w:sz w:val="24"/>
          <w:szCs w:val="24"/>
        </w:rPr>
        <w:t>Der UVP</w:t>
      </w:r>
      <w:r w:rsidRPr="00C1257C">
        <w:rPr>
          <w:rFonts w:ascii="Nunito Sans" w:hAnsi="Nunito Sans"/>
          <w:sz w:val="24"/>
          <w:szCs w:val="24"/>
        </w:rPr>
        <w:noBreakHyphen/>
        <w:t>Bericht (Nachtrag) soll die ursprüngliche UVP</w:t>
      </w:r>
      <w:r w:rsidRPr="00C1257C">
        <w:rPr>
          <w:rFonts w:ascii="Nunito Sans" w:hAnsi="Nunito Sans"/>
          <w:sz w:val="24"/>
          <w:szCs w:val="24"/>
        </w:rPr>
        <w:noBreakHyphen/>
        <w:t xml:space="preserve">Studie von 2007 ergänzen und die vom </w:t>
      </w:r>
      <w:proofErr w:type="gramStart"/>
      <w:r w:rsidRPr="00C1257C">
        <w:rPr>
          <w:rFonts w:ascii="Nunito Sans" w:hAnsi="Nunito Sans"/>
          <w:sz w:val="24"/>
          <w:szCs w:val="24"/>
        </w:rPr>
        <w:t>VG Halle</w:t>
      </w:r>
      <w:proofErr w:type="gramEnd"/>
      <w:r w:rsidRPr="00C1257C">
        <w:rPr>
          <w:rFonts w:ascii="Nunito Sans" w:hAnsi="Nunito Sans"/>
          <w:sz w:val="24"/>
          <w:szCs w:val="24"/>
        </w:rPr>
        <w:t xml:space="preserve"> gerügten Defizite bei der Erfassung und Bewertung der Umweltauswirkungen (insbesondere auf FFH</w:t>
      </w:r>
      <w:r w:rsidRPr="00C1257C">
        <w:rPr>
          <w:rFonts w:ascii="Nunito Sans" w:hAnsi="Nunito Sans"/>
          <w:sz w:val="24"/>
          <w:szCs w:val="24"/>
        </w:rPr>
        <w:noBreakHyphen/>
        <w:t>Gebiete und gesetzlich geschützte Biotope) heilen. Er verweist dazu auf Sondergutachten (Immissionsprognose, Natura</w:t>
      </w:r>
      <w:r w:rsidRPr="00C1257C">
        <w:rPr>
          <w:rFonts w:ascii="Nunito Sans" w:hAnsi="Nunito Sans"/>
          <w:sz w:val="24"/>
          <w:szCs w:val="24"/>
        </w:rPr>
        <w:noBreakHyphen/>
        <w:t>2000</w:t>
      </w:r>
      <w:r w:rsidRPr="00C1257C">
        <w:rPr>
          <w:rFonts w:ascii="Nunito Sans" w:hAnsi="Nunito Sans"/>
          <w:sz w:val="24"/>
          <w:szCs w:val="24"/>
        </w:rPr>
        <w:noBreakHyphen/>
        <w:t>Untersuchung, Biotopkartierung), fasst deren Ergebnisse aber weitgehend zusammen, ohne die Grenzen und Unsicherheiten dieser Gutachten kritisch zu reflektieren.</w:t>
      </w:r>
    </w:p>
    <w:p w14:paraId="5A69175D" w14:textId="77777777" w:rsidR="00786851" w:rsidRPr="00C1257C" w:rsidRDefault="00786851" w:rsidP="00EB2995">
      <w:pPr>
        <w:pStyle w:val="berschrift3"/>
      </w:pPr>
      <w:r w:rsidRPr="00C1257C">
        <w:t>Einwendungen:</w:t>
      </w:r>
    </w:p>
    <w:p w14:paraId="0CB24213" w14:textId="77777777" w:rsidR="00786851" w:rsidRPr="00C1257C" w:rsidRDefault="00786851" w:rsidP="00C1257C">
      <w:pPr>
        <w:ind w:right="567"/>
        <w:jc w:val="both"/>
        <w:rPr>
          <w:rFonts w:ascii="Nunito Sans" w:hAnsi="Nunito Sans"/>
          <w:sz w:val="24"/>
          <w:szCs w:val="24"/>
        </w:rPr>
      </w:pPr>
      <w:proofErr w:type="gramStart"/>
      <w:r w:rsidRPr="00C1257C">
        <w:rPr>
          <w:rFonts w:ascii="Nunito Sans" w:hAnsi="Nunito Sans"/>
          <w:sz w:val="24"/>
          <w:szCs w:val="24"/>
        </w:rPr>
        <w:t>Die Nachtrags</w:t>
      </w:r>
      <w:proofErr w:type="gramEnd"/>
      <w:r w:rsidRPr="00C1257C">
        <w:rPr>
          <w:rFonts w:ascii="Nunito Sans" w:hAnsi="Nunito Sans"/>
          <w:sz w:val="24"/>
          <w:szCs w:val="24"/>
        </w:rPr>
        <w:noBreakHyphen/>
        <w:t xml:space="preserve">UVP übernimmt im Kern die Aussagen der Fachgutachten („keine erheblichen Beeinträchtigungen“, Einhaltung Critical Loads, Bagatellschwelle 3 %) und präsentiert diese als abschließendes Fazit, ohne alternative Szenarien, Sensitivitätsanalysen oder </w:t>
      </w:r>
      <w:proofErr w:type="spellStart"/>
      <w:r w:rsidRPr="00C1257C">
        <w:rPr>
          <w:rFonts w:ascii="Nunito Sans" w:hAnsi="Nunito Sans"/>
          <w:sz w:val="24"/>
          <w:szCs w:val="24"/>
        </w:rPr>
        <w:t>worst</w:t>
      </w:r>
      <w:proofErr w:type="spellEnd"/>
      <w:r w:rsidRPr="00C1257C">
        <w:rPr>
          <w:rFonts w:ascii="Nunito Sans" w:hAnsi="Nunito Sans"/>
          <w:sz w:val="24"/>
          <w:szCs w:val="24"/>
        </w:rPr>
        <w:noBreakHyphen/>
      </w:r>
      <w:proofErr w:type="spellStart"/>
      <w:r w:rsidRPr="00C1257C">
        <w:rPr>
          <w:rFonts w:ascii="Nunito Sans" w:hAnsi="Nunito Sans"/>
          <w:sz w:val="24"/>
          <w:szCs w:val="24"/>
        </w:rPr>
        <w:t>case</w:t>
      </w:r>
      <w:proofErr w:type="spellEnd"/>
      <w:r w:rsidRPr="00C1257C">
        <w:rPr>
          <w:rFonts w:ascii="Nunito Sans" w:hAnsi="Nunito Sans"/>
          <w:sz w:val="24"/>
          <w:szCs w:val="24"/>
        </w:rPr>
        <w:noBreakHyphen/>
        <w:t xml:space="preserve">Betrachtungen darzustellen, obwohl die Gutachten selbst auf Modellunsicherheiten und Einzelfallprüfungsbedarf hinweisen. </w:t>
      </w:r>
    </w:p>
    <w:p w14:paraId="2D9D8CF9" w14:textId="77777777" w:rsidR="00786851" w:rsidRPr="00C1257C" w:rsidRDefault="00786851" w:rsidP="00C1257C">
      <w:pPr>
        <w:ind w:right="567"/>
        <w:jc w:val="both"/>
        <w:rPr>
          <w:rFonts w:ascii="Nunito Sans" w:hAnsi="Nunito Sans"/>
          <w:sz w:val="24"/>
          <w:szCs w:val="24"/>
        </w:rPr>
      </w:pPr>
      <w:r w:rsidRPr="00C1257C">
        <w:rPr>
          <w:rFonts w:ascii="Nunito Sans" w:hAnsi="Nunito Sans"/>
          <w:sz w:val="24"/>
          <w:szCs w:val="24"/>
        </w:rPr>
        <w:t>Die Öffentlichkeit erhält damit zwar Zugang zu umfangreichen Daten, aber keine eigenständige, behördlich</w:t>
      </w:r>
      <w:r w:rsidRPr="00C1257C">
        <w:rPr>
          <w:rFonts w:ascii="Nunito Sans" w:hAnsi="Nunito Sans"/>
          <w:sz w:val="24"/>
          <w:szCs w:val="24"/>
        </w:rPr>
        <w:noBreakHyphen/>
        <w:t xml:space="preserve">kritische Umweltbewertung. Dies schwächt die Effektivität der Öffentlichkeitsbeteiligung nach § 18 UVPG und § 10 BImSchG, die auch in einem ergänzenden Verfahren nach § 7 Abs. 5 </w:t>
      </w:r>
      <w:proofErr w:type="spellStart"/>
      <w:r w:rsidRPr="00C1257C">
        <w:rPr>
          <w:rFonts w:ascii="Nunito Sans" w:hAnsi="Nunito Sans"/>
          <w:sz w:val="24"/>
          <w:szCs w:val="24"/>
        </w:rPr>
        <w:t>UmwRG</w:t>
      </w:r>
      <w:proofErr w:type="spellEnd"/>
      <w:r w:rsidRPr="00C1257C">
        <w:rPr>
          <w:rFonts w:ascii="Nunito Sans" w:hAnsi="Nunito Sans"/>
          <w:sz w:val="24"/>
          <w:szCs w:val="24"/>
        </w:rPr>
        <w:t xml:space="preserve"> eine vollwertige Beteiligungsgrundlage verlangt.</w:t>
      </w:r>
    </w:p>
    <w:p w14:paraId="024C126B" w14:textId="58E5398A" w:rsidR="00786851" w:rsidRPr="00C1257C" w:rsidRDefault="00786851" w:rsidP="00C1257C">
      <w:pPr>
        <w:ind w:right="567"/>
        <w:jc w:val="both"/>
        <w:rPr>
          <w:rFonts w:ascii="Nunito Sans" w:hAnsi="Nunito Sans"/>
          <w:sz w:val="24"/>
          <w:szCs w:val="24"/>
        </w:rPr>
      </w:pPr>
      <w:r w:rsidRPr="00C1257C">
        <w:rPr>
          <w:rFonts w:ascii="Nunito Sans" w:hAnsi="Nunito Sans"/>
          <w:sz w:val="24"/>
          <w:szCs w:val="24"/>
        </w:rPr>
        <w:t>Aus meiner Sicht ist die Heilung der UVP</w:t>
      </w:r>
      <w:r w:rsidRPr="00C1257C">
        <w:rPr>
          <w:rFonts w:ascii="Nunito Sans" w:hAnsi="Nunito Sans"/>
          <w:sz w:val="24"/>
          <w:szCs w:val="24"/>
        </w:rPr>
        <w:noBreakHyphen/>
        <w:t xml:space="preserve"> und Beteiligungsmängel daher rechtlich nicht gesichert. Insbesondere bleiben die vom </w:t>
      </w:r>
      <w:proofErr w:type="gramStart"/>
      <w:r w:rsidRPr="00C1257C">
        <w:rPr>
          <w:rFonts w:ascii="Nunito Sans" w:hAnsi="Nunito Sans"/>
          <w:sz w:val="24"/>
          <w:szCs w:val="24"/>
        </w:rPr>
        <w:t>VG Halle</w:t>
      </w:r>
      <w:proofErr w:type="gramEnd"/>
      <w:r w:rsidRPr="00C1257C">
        <w:rPr>
          <w:rFonts w:ascii="Nunito Sans" w:hAnsi="Nunito Sans"/>
          <w:sz w:val="24"/>
          <w:szCs w:val="24"/>
        </w:rPr>
        <w:t xml:space="preserve"> und OVG Sachsen</w:t>
      </w:r>
      <w:r w:rsidRPr="00C1257C">
        <w:rPr>
          <w:rFonts w:ascii="Nunito Sans" w:hAnsi="Nunito Sans"/>
          <w:sz w:val="24"/>
          <w:szCs w:val="24"/>
        </w:rPr>
        <w:noBreakHyphen/>
        <w:t>Anhalt hervorgehobenen methodischen und naturschutzfachlichen Zweifel an der FFH</w:t>
      </w:r>
      <w:r w:rsidRPr="00C1257C">
        <w:rPr>
          <w:rFonts w:ascii="Nunito Sans" w:hAnsi="Nunito Sans"/>
          <w:sz w:val="24"/>
          <w:szCs w:val="24"/>
        </w:rPr>
        <w:noBreakHyphen/>
        <w:t xml:space="preserve"> und Biotopverträglichkeit in wesentlichen Punkten bestehen.</w:t>
      </w:r>
    </w:p>
    <w:p w14:paraId="7C478F81" w14:textId="77777777" w:rsidR="000E69B6" w:rsidRPr="00C1257C" w:rsidRDefault="000E69B6" w:rsidP="00C1257C">
      <w:pPr>
        <w:ind w:right="567"/>
        <w:jc w:val="both"/>
        <w:rPr>
          <w:rFonts w:ascii="Nunito Sans" w:hAnsi="Nunito Sans"/>
          <w:sz w:val="24"/>
          <w:szCs w:val="24"/>
        </w:rPr>
      </w:pPr>
    </w:p>
    <w:p w14:paraId="21A24F79" w14:textId="77777777" w:rsidR="00786851" w:rsidRPr="00C1257C" w:rsidRDefault="00786851" w:rsidP="00EB2995">
      <w:pPr>
        <w:pStyle w:val="berschrift2"/>
      </w:pPr>
      <w:r w:rsidRPr="00C1257C">
        <w:t>Einwendung 5:</w:t>
      </w:r>
    </w:p>
    <w:p w14:paraId="1AEA135E" w14:textId="7F81623A" w:rsidR="00786851" w:rsidRPr="00C1257C" w:rsidRDefault="00786851" w:rsidP="00C1257C">
      <w:pPr>
        <w:ind w:right="567"/>
        <w:jc w:val="both"/>
        <w:rPr>
          <w:rFonts w:ascii="Nunito Sans" w:hAnsi="Nunito Sans"/>
          <w:sz w:val="24"/>
          <w:szCs w:val="24"/>
        </w:rPr>
      </w:pPr>
      <w:r w:rsidRPr="00C1257C">
        <w:rPr>
          <w:rFonts w:ascii="Nunito Sans" w:hAnsi="Nunito Sans"/>
          <w:sz w:val="24"/>
          <w:szCs w:val="24"/>
        </w:rPr>
        <w:t xml:space="preserve">Als weiteres Indiz für die Unzulänglichkeit der rein modellgestützten Betrachtung der Umweltauswirkungen ist darauf hinzuweisen, dass es im laufenden Betrieb der Anlage jüngst zu einem Gülle Auslauf im Umfeld der </w:t>
      </w:r>
      <w:r w:rsidRPr="00C1257C">
        <w:rPr>
          <w:rFonts w:ascii="Nunito Sans" w:hAnsi="Nunito Sans"/>
          <w:sz w:val="24"/>
          <w:szCs w:val="24"/>
        </w:rPr>
        <w:lastRenderedPageBreak/>
        <w:t xml:space="preserve">Schweinemastanlage Gerbisbach gekommen ist, bei dem in der Nacht vom 23. auf den 24. März 2026 Gülle in bislang unbekannter Menge in angrenzende Gräben gelangte und die Behörden einschreiten mussten. Dieser Vorfall zeigt, dass die im Genehmigungs- und Baugenehmigungsverfahren zugrunde gelegte Annahme dauerhaft dichter </w:t>
      </w:r>
      <w:proofErr w:type="gramStart"/>
      <w:r w:rsidRPr="00C1257C">
        <w:rPr>
          <w:rFonts w:ascii="Nunito Sans" w:hAnsi="Nunito Sans"/>
          <w:sz w:val="24"/>
          <w:szCs w:val="24"/>
        </w:rPr>
        <w:t>Gülle  und</w:t>
      </w:r>
      <w:proofErr w:type="gramEnd"/>
      <w:r w:rsidRPr="00C1257C">
        <w:rPr>
          <w:rFonts w:ascii="Nunito Sans" w:hAnsi="Nunito Sans"/>
          <w:sz w:val="24"/>
          <w:szCs w:val="24"/>
        </w:rPr>
        <w:t xml:space="preserve"> Gärrestanlagen sowie die in den Nebenbestimmungen angeordneten technischen und organisatorischen Vorkehrungen gegen Havarien in der Praxis nicht lückenlos wirksam sind. </w:t>
      </w:r>
    </w:p>
    <w:p w14:paraId="20F5AF94" w14:textId="317C69F6" w:rsidR="00786851" w:rsidRPr="00C1257C" w:rsidRDefault="00786851" w:rsidP="00C1257C">
      <w:pPr>
        <w:ind w:right="567"/>
        <w:jc w:val="both"/>
        <w:rPr>
          <w:rFonts w:ascii="Nunito Sans" w:hAnsi="Nunito Sans"/>
          <w:sz w:val="24"/>
          <w:szCs w:val="24"/>
        </w:rPr>
      </w:pPr>
      <w:r w:rsidRPr="00C1257C">
        <w:rPr>
          <w:rFonts w:ascii="Nunito Sans" w:hAnsi="Nunito Sans"/>
          <w:sz w:val="24"/>
          <w:szCs w:val="24"/>
        </w:rPr>
        <w:t xml:space="preserve">Selbst wenn die zuständigen Stellen nachträglich keine messbaren dauerhaften Umweltschäden feststellen konnten, belegt der reale Austritt wassergefährdender Stoffe die Anfälligkeit der Anlage für Störungen und die besondere Gefährdung von Gräben, Gewässern und Uferbiotopen im unmittelbaren </w:t>
      </w:r>
      <w:proofErr w:type="spellStart"/>
      <w:r w:rsidRPr="00C1257C">
        <w:rPr>
          <w:rFonts w:ascii="Nunito Sans" w:hAnsi="Nunito Sans"/>
          <w:sz w:val="24"/>
          <w:szCs w:val="24"/>
        </w:rPr>
        <w:t>Wirkraum</w:t>
      </w:r>
      <w:proofErr w:type="spellEnd"/>
      <w:r w:rsidRPr="00C1257C">
        <w:rPr>
          <w:rFonts w:ascii="Nunito Sans" w:hAnsi="Nunito Sans"/>
          <w:sz w:val="24"/>
          <w:szCs w:val="24"/>
        </w:rPr>
        <w:t>. Vor diesem Hintergrund reicht eine rein modellhafte Bewertung der Stickstoffeinträge unter der Annahme störungsfreien Betriebs nicht aus, um die Vorsorgeanforderungen des § 5 Abs. 1 Nr. 1 und Nr. 2 BImSchG sowie die wasser- und naturschutzrechtlichen Schutzpflichten als erfüllt anzusehen; vielmehr bedarf es einer ergänzenden, an realen Betriebsstörungen orientierten Risikoanalyse und einer Überprüfung der Havarie</w:t>
      </w:r>
      <w:r w:rsidR="00584D06" w:rsidRPr="00C1257C">
        <w:rPr>
          <w:rFonts w:ascii="Nunito Sans" w:hAnsi="Nunito Sans"/>
          <w:sz w:val="24"/>
          <w:szCs w:val="24"/>
        </w:rPr>
        <w:t>-</w:t>
      </w:r>
      <w:r w:rsidRPr="00C1257C">
        <w:rPr>
          <w:rFonts w:ascii="Nunito Sans" w:hAnsi="Nunito Sans"/>
          <w:sz w:val="24"/>
          <w:szCs w:val="24"/>
        </w:rPr>
        <w:t> und Gefahrenabwehrkonzepte im ergänzenden Verfahren.</w:t>
      </w:r>
    </w:p>
    <w:p w14:paraId="66D28253" w14:textId="77777777" w:rsidR="003E7DC3" w:rsidRPr="00C1257C" w:rsidRDefault="003E7DC3" w:rsidP="00C1257C">
      <w:pPr>
        <w:ind w:right="567"/>
        <w:jc w:val="both"/>
        <w:rPr>
          <w:rFonts w:ascii="Nunito Sans" w:hAnsi="Nunito Sans"/>
          <w:sz w:val="24"/>
          <w:szCs w:val="24"/>
        </w:rPr>
      </w:pPr>
    </w:p>
    <w:p w14:paraId="79A89007" w14:textId="77777777" w:rsidR="00786851" w:rsidRPr="00C1257C" w:rsidRDefault="00786851" w:rsidP="00EB2995">
      <w:pPr>
        <w:pStyle w:val="berschrift2"/>
      </w:pPr>
      <w:r w:rsidRPr="00C1257C">
        <w:t>Antrag</w:t>
      </w:r>
    </w:p>
    <w:p w14:paraId="6A2E1A4E" w14:textId="42D1595D" w:rsidR="00786851" w:rsidRPr="00C1257C" w:rsidRDefault="00786851" w:rsidP="00C1257C">
      <w:pPr>
        <w:ind w:right="567"/>
        <w:jc w:val="both"/>
        <w:rPr>
          <w:rFonts w:ascii="Nunito Sans" w:hAnsi="Nunito Sans"/>
          <w:sz w:val="24"/>
          <w:szCs w:val="24"/>
        </w:rPr>
      </w:pPr>
      <w:r w:rsidRPr="00C1257C">
        <w:rPr>
          <w:rFonts w:ascii="Nunito Sans" w:hAnsi="Nunito Sans"/>
          <w:sz w:val="24"/>
          <w:szCs w:val="24"/>
        </w:rPr>
        <w:t>Aufgrund der vorstehenden Einwendungen beantrage ich:</w:t>
      </w:r>
    </w:p>
    <w:p w14:paraId="05B4102F" w14:textId="77777777" w:rsidR="00786851" w:rsidRPr="00C1257C" w:rsidRDefault="00786851" w:rsidP="00C1257C">
      <w:pPr>
        <w:ind w:left="708" w:right="567"/>
        <w:jc w:val="both"/>
        <w:rPr>
          <w:rFonts w:ascii="Nunito Sans" w:hAnsi="Nunito Sans"/>
          <w:sz w:val="24"/>
          <w:szCs w:val="24"/>
        </w:rPr>
      </w:pPr>
      <w:r w:rsidRPr="00C1257C">
        <w:rPr>
          <w:rFonts w:ascii="Nunito Sans" w:hAnsi="Nunito Sans"/>
          <w:b/>
          <w:bCs/>
          <w:sz w:val="24"/>
          <w:szCs w:val="24"/>
        </w:rPr>
        <w:t xml:space="preserve">1. die vorgelegten </w:t>
      </w:r>
      <w:proofErr w:type="spellStart"/>
      <w:r w:rsidRPr="00C1257C">
        <w:rPr>
          <w:rFonts w:ascii="Nunito Sans" w:hAnsi="Nunito Sans"/>
          <w:b/>
          <w:bCs/>
          <w:sz w:val="24"/>
          <w:szCs w:val="24"/>
        </w:rPr>
        <w:t>Immissions</w:t>
      </w:r>
      <w:proofErr w:type="spellEnd"/>
      <w:r w:rsidRPr="00C1257C">
        <w:rPr>
          <w:rFonts w:ascii="Nunito Sans" w:hAnsi="Nunito Sans"/>
          <w:b/>
          <w:bCs/>
          <w:sz w:val="24"/>
          <w:szCs w:val="24"/>
        </w:rPr>
        <w:noBreakHyphen/>
        <w:t xml:space="preserve"> und FFH</w:t>
      </w:r>
      <w:r w:rsidRPr="00C1257C">
        <w:rPr>
          <w:rFonts w:ascii="Nunito Sans" w:hAnsi="Nunito Sans"/>
          <w:b/>
          <w:bCs/>
          <w:sz w:val="24"/>
          <w:szCs w:val="24"/>
        </w:rPr>
        <w:noBreakHyphen/>
        <w:t>Gutachten einer unabhängigen, fachbehördlichen und ggf. extern sachverständigen Überprüfung zu unterziehen und insbesondere die Einzelfallbewertung für sensible FFH</w:t>
      </w:r>
      <w:r w:rsidRPr="00C1257C">
        <w:rPr>
          <w:rFonts w:ascii="Nunito Sans" w:hAnsi="Nunito Sans"/>
          <w:b/>
          <w:bCs/>
          <w:sz w:val="24"/>
          <w:szCs w:val="24"/>
        </w:rPr>
        <w:noBreakHyphen/>
        <w:t xml:space="preserve">Lebensraumtypen und gesetzlich geschützte Biotope (Stillgewässer, Gräben, Gehölzbiotope) zu vertiefen; </w:t>
      </w:r>
    </w:p>
    <w:p w14:paraId="67DD997D" w14:textId="77777777" w:rsidR="00786851" w:rsidRPr="00C1257C" w:rsidRDefault="00786851" w:rsidP="00C1257C">
      <w:pPr>
        <w:ind w:left="708" w:right="567"/>
        <w:jc w:val="both"/>
        <w:rPr>
          <w:rFonts w:ascii="Nunito Sans" w:hAnsi="Nunito Sans"/>
          <w:sz w:val="24"/>
          <w:szCs w:val="24"/>
        </w:rPr>
      </w:pPr>
      <w:r w:rsidRPr="00C1257C">
        <w:rPr>
          <w:rFonts w:ascii="Nunito Sans" w:hAnsi="Nunito Sans"/>
          <w:b/>
          <w:bCs/>
          <w:sz w:val="24"/>
          <w:szCs w:val="24"/>
        </w:rPr>
        <w:t>2. von einer Genehmigungserteilung im ergänzenden Verfahren abzusehen, solange nicht zweifelsfrei nachgewiesen ist, dass die Anforderungen des § 5 BImSchG, des § 34 BNatSchG und der FFH</w:t>
      </w:r>
      <w:r w:rsidRPr="00C1257C">
        <w:rPr>
          <w:rFonts w:ascii="Nunito Sans" w:hAnsi="Nunito Sans"/>
          <w:b/>
          <w:bCs/>
          <w:sz w:val="24"/>
          <w:szCs w:val="24"/>
        </w:rPr>
        <w:noBreakHyphen/>
        <w:t xml:space="preserve">Richtlinie eingehalten werden; </w:t>
      </w:r>
    </w:p>
    <w:p w14:paraId="0D82BFCA" w14:textId="5EB71A64" w:rsidR="003E7DC3" w:rsidRPr="00C1257C" w:rsidRDefault="00786851" w:rsidP="003E7DC3">
      <w:pPr>
        <w:ind w:left="708" w:right="567"/>
        <w:jc w:val="both"/>
        <w:rPr>
          <w:rFonts w:ascii="Nunito Sans" w:hAnsi="Nunito Sans"/>
          <w:b/>
          <w:bCs/>
          <w:sz w:val="24"/>
          <w:szCs w:val="24"/>
        </w:rPr>
      </w:pPr>
      <w:r w:rsidRPr="00C1257C">
        <w:rPr>
          <w:rFonts w:ascii="Nunito Sans" w:hAnsi="Nunito Sans"/>
          <w:b/>
          <w:bCs/>
          <w:sz w:val="24"/>
          <w:szCs w:val="24"/>
        </w:rPr>
        <w:t>3. die Öffentlichkeit – einschließlich anerkannten Umweltvereinigungen – über etwaige Ergänzungen oder Änderungen der Gutachten erneut zu informieren und ihnen Gelegenheit zur Stellungnahme zu geben.</w:t>
      </w:r>
    </w:p>
    <w:p w14:paraId="064F55C1" w14:textId="77777777" w:rsidR="000E69B6" w:rsidRPr="00C1257C" w:rsidRDefault="000E69B6" w:rsidP="00C1257C">
      <w:pPr>
        <w:ind w:right="567"/>
        <w:jc w:val="both"/>
        <w:rPr>
          <w:rFonts w:ascii="Nunito Sans" w:hAnsi="Nunito Sans"/>
          <w:b/>
          <w:bCs/>
          <w:sz w:val="24"/>
          <w:szCs w:val="24"/>
        </w:rPr>
      </w:pPr>
    </w:p>
    <w:p w14:paraId="3ADA42E6" w14:textId="76EE907F" w:rsidR="00EB2995" w:rsidRPr="00C1257C" w:rsidRDefault="000E69B6" w:rsidP="00C1257C">
      <w:pPr>
        <w:ind w:right="567"/>
        <w:jc w:val="both"/>
        <w:rPr>
          <w:rFonts w:ascii="Nunito Sans" w:hAnsi="Nunito Sans"/>
          <w:sz w:val="24"/>
          <w:szCs w:val="24"/>
        </w:rPr>
      </w:pPr>
      <w:r w:rsidRPr="00C1257C">
        <w:rPr>
          <w:rFonts w:ascii="Nunito Sans" w:hAnsi="Nunito Sans"/>
          <w:sz w:val="24"/>
          <w:szCs w:val="24"/>
        </w:rPr>
        <w:t>Mit freundlichen Grüßen</w:t>
      </w:r>
    </w:p>
    <w:sectPr w:rsidR="00EB2995" w:rsidRPr="00C1257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unito Sans">
    <w:charset w:val="00"/>
    <w:family w:val="auto"/>
    <w:pitch w:val="variable"/>
    <w:sig w:usb0="A00002FF" w:usb1="5000204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0943DB"/>
    <w:multiLevelType w:val="multilevel"/>
    <w:tmpl w:val="E5D84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1700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851"/>
    <w:rsid w:val="00055081"/>
    <w:rsid w:val="000E69B6"/>
    <w:rsid w:val="000E7765"/>
    <w:rsid w:val="00280DBE"/>
    <w:rsid w:val="003E7DC3"/>
    <w:rsid w:val="00423A2A"/>
    <w:rsid w:val="00584D06"/>
    <w:rsid w:val="00786851"/>
    <w:rsid w:val="00C1257C"/>
    <w:rsid w:val="00EB2995"/>
    <w:rsid w:val="00FE15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EDF4A"/>
  <w15:chartTrackingRefBased/>
  <w15:docId w15:val="{A38EB5A5-5CFD-4C4A-82F1-2D8372780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868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7868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78685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8685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8685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8685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8685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8685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8685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8685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78685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78685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8685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8685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8685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8685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8685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86851"/>
    <w:rPr>
      <w:rFonts w:eastAsiaTheme="majorEastAsia" w:cstheme="majorBidi"/>
      <w:color w:val="272727" w:themeColor="text1" w:themeTint="D8"/>
    </w:rPr>
  </w:style>
  <w:style w:type="paragraph" w:styleId="Titel">
    <w:name w:val="Title"/>
    <w:basedOn w:val="Standard"/>
    <w:next w:val="Standard"/>
    <w:link w:val="TitelZchn"/>
    <w:uiPriority w:val="10"/>
    <w:qFormat/>
    <w:rsid w:val="007868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8685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8685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8685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8685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86851"/>
    <w:rPr>
      <w:i/>
      <w:iCs/>
      <w:color w:val="404040" w:themeColor="text1" w:themeTint="BF"/>
    </w:rPr>
  </w:style>
  <w:style w:type="paragraph" w:styleId="Listenabsatz">
    <w:name w:val="List Paragraph"/>
    <w:basedOn w:val="Standard"/>
    <w:uiPriority w:val="34"/>
    <w:qFormat/>
    <w:rsid w:val="00786851"/>
    <w:pPr>
      <w:ind w:left="720"/>
      <w:contextualSpacing/>
    </w:pPr>
  </w:style>
  <w:style w:type="character" w:styleId="IntensiveHervorhebung">
    <w:name w:val="Intense Emphasis"/>
    <w:basedOn w:val="Absatz-Standardschriftart"/>
    <w:uiPriority w:val="21"/>
    <w:qFormat/>
    <w:rsid w:val="00786851"/>
    <w:rPr>
      <w:i/>
      <w:iCs/>
      <w:color w:val="0F4761" w:themeColor="accent1" w:themeShade="BF"/>
    </w:rPr>
  </w:style>
  <w:style w:type="paragraph" w:styleId="IntensivesZitat">
    <w:name w:val="Intense Quote"/>
    <w:basedOn w:val="Standard"/>
    <w:next w:val="Standard"/>
    <w:link w:val="IntensivesZitatZchn"/>
    <w:uiPriority w:val="30"/>
    <w:qFormat/>
    <w:rsid w:val="007868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86851"/>
    <w:rPr>
      <w:i/>
      <w:iCs/>
      <w:color w:val="0F4761" w:themeColor="accent1" w:themeShade="BF"/>
    </w:rPr>
  </w:style>
  <w:style w:type="character" w:styleId="IntensiverVerweis">
    <w:name w:val="Intense Reference"/>
    <w:basedOn w:val="Absatz-Standardschriftart"/>
    <w:uiPriority w:val="32"/>
    <w:qFormat/>
    <w:rsid w:val="00786851"/>
    <w:rPr>
      <w:b/>
      <w:bCs/>
      <w:smallCaps/>
      <w:color w:val="0F4761" w:themeColor="accent1" w:themeShade="BF"/>
      <w:spacing w:val="5"/>
    </w:rPr>
  </w:style>
  <w:style w:type="paragraph" w:customStyle="1" w:styleId="docdata">
    <w:name w:val="docdata"/>
    <w:aliases w:val="docy,v5,5678,bqiaagaaeyqcaaagiaiaaamsfqaabtovaaaaaaaaaaaaaaaaaaaaaaaaaaaaaaaaaaaaaaaaaaaaaaaaaaaaaaaaaaaaaaaaaaaaaaaaaaaaaaaaaaaaaaaaaaaaaaaaaaaaaaaaaaaaaaaaaaaaaaaaaaaaaaaaaaaaaaaaaaaaaaaaaaaaaaaaaaaaaaaaaaaaaaaaaaaaaaaaaaaaaaaaaaaaaaaaaaaaaaaa"/>
    <w:basedOn w:val="Standard"/>
    <w:rsid w:val="00C1257C"/>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paragraph" w:styleId="StandardWeb">
    <w:name w:val="Normal (Web)"/>
    <w:basedOn w:val="Standard"/>
    <w:uiPriority w:val="99"/>
    <w:semiHidden/>
    <w:unhideWhenUsed/>
    <w:rsid w:val="00C1257C"/>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109132">
      <w:bodyDiv w:val="1"/>
      <w:marLeft w:val="0"/>
      <w:marRight w:val="0"/>
      <w:marTop w:val="0"/>
      <w:marBottom w:val="0"/>
      <w:divBdr>
        <w:top w:val="none" w:sz="0" w:space="0" w:color="auto"/>
        <w:left w:val="none" w:sz="0" w:space="0" w:color="auto"/>
        <w:bottom w:val="none" w:sz="0" w:space="0" w:color="auto"/>
        <w:right w:val="none" w:sz="0" w:space="0" w:color="auto"/>
      </w:divBdr>
    </w:div>
    <w:div w:id="200423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2144</Words>
  <Characters>13511</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 Hieß</dc:creator>
  <cp:keywords/>
  <dc:description/>
  <cp:lastModifiedBy>Mario Burbach</cp:lastModifiedBy>
  <cp:revision>6</cp:revision>
  <cp:lastPrinted>2026-07-07T09:09:00Z</cp:lastPrinted>
  <dcterms:created xsi:type="dcterms:W3CDTF">2026-07-07T08:37:00Z</dcterms:created>
  <dcterms:modified xsi:type="dcterms:W3CDTF">2026-07-16T20:14:00Z</dcterms:modified>
</cp:coreProperties>
</file>